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5BBB" w:rsidRPr="00BE4C24" w:rsidRDefault="00D42E99" w:rsidP="00B00A62">
      <w:pPr>
        <w:pStyle w:val="NameofEventDate"/>
        <w:pBdr>
          <w:bottom w:val="none" w:sz="0" w:space="0" w:color="auto"/>
        </w:pBdr>
        <w:spacing w:after="120"/>
        <w:jc w:val="both"/>
        <w:rPr>
          <w:b/>
          <w:color w:val="0E4194"/>
          <w:sz w:val="24"/>
          <w:lang w:val="en-GB"/>
        </w:rPr>
      </w:pPr>
      <w:r w:rsidRPr="00BE4C24">
        <w:rPr>
          <w:b/>
          <w:color w:val="0E4194"/>
          <w:sz w:val="24"/>
          <w:lang w:val="en-GB"/>
        </w:rPr>
        <w:t>4th Meeting of the Steering Group</w:t>
      </w:r>
      <w:r w:rsidR="00405BBB" w:rsidRPr="00BE4C24">
        <w:rPr>
          <w:b/>
          <w:color w:val="0E4194"/>
          <w:sz w:val="24"/>
          <w:lang w:val="en-GB"/>
        </w:rPr>
        <w:t xml:space="preserve"> (SG)</w:t>
      </w:r>
      <w:r w:rsidRPr="00BE4C24">
        <w:rPr>
          <w:b/>
          <w:color w:val="0E4194"/>
          <w:sz w:val="24"/>
          <w:lang w:val="en-GB"/>
        </w:rPr>
        <w:t xml:space="preserve"> of Priority Area 9 </w:t>
      </w:r>
      <w:r w:rsidR="00405BBB" w:rsidRPr="00BE4C24">
        <w:rPr>
          <w:b/>
          <w:color w:val="0E4194"/>
          <w:sz w:val="24"/>
          <w:lang w:val="en-GB"/>
        </w:rPr>
        <w:t xml:space="preserve">(PA9) </w:t>
      </w:r>
      <w:r w:rsidRPr="00BE4C24">
        <w:rPr>
          <w:b/>
          <w:color w:val="0E4194"/>
          <w:sz w:val="24"/>
          <w:lang w:val="en-GB"/>
        </w:rPr>
        <w:t xml:space="preserve">of the </w:t>
      </w:r>
    </w:p>
    <w:p w:rsidR="00D42E99" w:rsidRPr="00C87945" w:rsidRDefault="00D42E99" w:rsidP="00B00A62">
      <w:pPr>
        <w:pStyle w:val="NameofEventDate"/>
        <w:pBdr>
          <w:bottom w:val="none" w:sz="0" w:space="0" w:color="auto"/>
        </w:pBdr>
        <w:spacing w:after="120"/>
        <w:jc w:val="both"/>
        <w:rPr>
          <w:b/>
          <w:color w:val="auto"/>
          <w:sz w:val="22"/>
          <w:lang w:val="en-GB"/>
        </w:rPr>
      </w:pPr>
      <w:r w:rsidRPr="00BE4C24">
        <w:rPr>
          <w:b/>
          <w:color w:val="0E4194"/>
          <w:sz w:val="24"/>
          <w:lang w:val="en-GB"/>
        </w:rPr>
        <w:t>EU Strategy for the Danube Region</w:t>
      </w:r>
      <w:r w:rsidR="00405BBB" w:rsidRPr="00BE4C24">
        <w:rPr>
          <w:b/>
          <w:color w:val="0E4194"/>
          <w:sz w:val="24"/>
          <w:lang w:val="en-GB"/>
        </w:rPr>
        <w:t xml:space="preserve"> (EUSDR)</w:t>
      </w:r>
      <w:r w:rsidR="00441847" w:rsidRPr="00441847">
        <w:rPr>
          <w:sz w:val="16"/>
          <w:lang w:val="en-GB"/>
        </w:rPr>
        <w:pict>
          <v:rect id="_x0000_i1025" style="width:453.6pt;height:1pt" o:hralign="center" o:hrstd="t" o:hrnoshade="t" o:hr="t" fillcolor="#0e4194" stroked="f"/>
        </w:pict>
      </w:r>
    </w:p>
    <w:p w:rsidR="00D42E99" w:rsidRPr="006E4DAA" w:rsidRDefault="00D42E99" w:rsidP="00B00A62">
      <w:pPr>
        <w:pStyle w:val="NameofEventDate"/>
        <w:pBdr>
          <w:bottom w:val="none" w:sz="0" w:space="0" w:color="auto"/>
        </w:pBdr>
        <w:jc w:val="both"/>
        <w:rPr>
          <w:b/>
          <w:color w:val="auto"/>
          <w:sz w:val="22"/>
          <w:lang w:val="de-AT"/>
        </w:rPr>
      </w:pPr>
      <w:r w:rsidRPr="006E4DAA">
        <w:rPr>
          <w:b/>
          <w:color w:val="auto"/>
          <w:sz w:val="22"/>
          <w:lang w:val="de-AT"/>
        </w:rPr>
        <w:t>29 November 2012; 09.00 – 16.00</w:t>
      </w:r>
    </w:p>
    <w:p w:rsidR="00D42E99" w:rsidRPr="00FE76DA" w:rsidRDefault="00D42E99" w:rsidP="00B00A62">
      <w:pPr>
        <w:spacing w:after="0"/>
        <w:jc w:val="both"/>
        <w:rPr>
          <w:sz w:val="22"/>
          <w:lang w:val="de-AT"/>
        </w:rPr>
      </w:pPr>
      <w:r w:rsidRPr="00FE76DA">
        <w:rPr>
          <w:sz w:val="22"/>
          <w:lang w:val="de-AT"/>
        </w:rPr>
        <w:t>Salzstadel Conference Venue, Weiße-Lamm-Gasse 1, D-93047 Regensburg</w:t>
      </w:r>
      <w:r w:rsidR="00FE76DA" w:rsidRPr="00FE76DA">
        <w:rPr>
          <w:sz w:val="22"/>
          <w:lang w:val="de-AT"/>
        </w:rPr>
        <w:t xml:space="preserve">, </w:t>
      </w:r>
      <w:r w:rsidR="00FE76DA">
        <w:rPr>
          <w:sz w:val="22"/>
          <w:lang w:val="de-AT"/>
        </w:rPr>
        <w:t>Germany</w:t>
      </w:r>
    </w:p>
    <w:p w:rsidR="00D42E99" w:rsidRPr="00C87945" w:rsidRDefault="00441847" w:rsidP="00B00A62">
      <w:pPr>
        <w:tabs>
          <w:tab w:val="left" w:pos="1843"/>
        </w:tabs>
        <w:jc w:val="both"/>
        <w:rPr>
          <w:b/>
          <w:color w:val="262727"/>
          <w:sz w:val="22"/>
          <w:lang w:val="en-GB"/>
        </w:rPr>
      </w:pPr>
      <w:r w:rsidRPr="00441847">
        <w:rPr>
          <w:color w:val="262727"/>
          <w:sz w:val="22"/>
          <w:lang w:val="en-GB"/>
        </w:rPr>
        <w:pict>
          <v:rect id="_x0000_i1026" style="width:453.6pt;height:1pt" o:hralign="center" o:hrstd="t" o:hrnoshade="t" o:hr="t" fillcolor="#0e4194" stroked="f"/>
        </w:pict>
      </w:r>
    </w:p>
    <w:p w:rsidR="00D42E99" w:rsidRPr="00C87945" w:rsidRDefault="00D42E99" w:rsidP="00B00A62">
      <w:pPr>
        <w:tabs>
          <w:tab w:val="left" w:pos="1843"/>
        </w:tabs>
        <w:jc w:val="both"/>
        <w:rPr>
          <w:b/>
          <w:color w:val="262727"/>
          <w:sz w:val="22"/>
          <w:u w:val="single"/>
          <w:lang w:val="en-GB"/>
        </w:rPr>
      </w:pPr>
      <w:r w:rsidRPr="00C87945">
        <w:rPr>
          <w:b/>
          <w:color w:val="262727"/>
          <w:sz w:val="22"/>
          <w:u w:val="single"/>
          <w:lang w:val="en-GB"/>
        </w:rPr>
        <w:t>Chairpersons</w:t>
      </w:r>
    </w:p>
    <w:p w:rsidR="00D42E99" w:rsidRPr="00C87945" w:rsidRDefault="00D42E99" w:rsidP="00B00A62">
      <w:pPr>
        <w:tabs>
          <w:tab w:val="left" w:pos="1843"/>
        </w:tabs>
        <w:spacing w:after="120"/>
        <w:jc w:val="both"/>
        <w:rPr>
          <w:color w:val="262727"/>
          <w:sz w:val="22"/>
          <w:lang w:val="en-GB"/>
        </w:rPr>
      </w:pPr>
      <w:r w:rsidRPr="00C87945">
        <w:rPr>
          <w:color w:val="262727"/>
          <w:sz w:val="22"/>
          <w:lang w:val="en-GB"/>
        </w:rPr>
        <w:t>Jürgen Schick, Federal Ministry for Education, the Arts and Culture, Austria</w:t>
      </w:r>
    </w:p>
    <w:p w:rsidR="001756AD" w:rsidRPr="00C87945" w:rsidRDefault="00D42E99" w:rsidP="00B00A62">
      <w:pPr>
        <w:tabs>
          <w:tab w:val="left" w:pos="1843"/>
        </w:tabs>
        <w:spacing w:after="120"/>
        <w:jc w:val="both"/>
        <w:rPr>
          <w:color w:val="262727"/>
          <w:sz w:val="22"/>
          <w:lang w:val="en-GB"/>
        </w:rPr>
      </w:pPr>
      <w:r w:rsidRPr="00C87945">
        <w:rPr>
          <w:color w:val="262727"/>
          <w:sz w:val="22"/>
          <w:lang w:val="en-GB"/>
        </w:rPr>
        <w:t>Ion Gumene, State Chancellery, Republic of Moldova</w:t>
      </w:r>
      <w:r w:rsidR="001756AD" w:rsidRPr="00C87945">
        <w:rPr>
          <w:color w:val="262727"/>
          <w:sz w:val="22"/>
          <w:lang w:val="en-GB"/>
        </w:rPr>
        <w:t xml:space="preserve"> </w:t>
      </w:r>
    </w:p>
    <w:p w:rsidR="00405BBB" w:rsidRPr="00C87945" w:rsidRDefault="001756AD" w:rsidP="00B00A62">
      <w:pPr>
        <w:tabs>
          <w:tab w:val="left" w:pos="1843"/>
        </w:tabs>
        <w:spacing w:after="120"/>
        <w:jc w:val="both"/>
        <w:rPr>
          <w:color w:val="262727"/>
          <w:sz w:val="22"/>
          <w:lang w:val="en-GB"/>
        </w:rPr>
      </w:pPr>
      <w:r w:rsidRPr="00C87945">
        <w:rPr>
          <w:color w:val="262727"/>
          <w:sz w:val="22"/>
          <w:lang w:val="en-GB"/>
        </w:rPr>
        <w:t>Jörg Leitner, Federal Ministry of Labour, Social Affairs and Consumer Protection, Austria</w:t>
      </w:r>
      <w:r w:rsidR="004443F0" w:rsidRPr="00C87945">
        <w:rPr>
          <w:color w:val="262727"/>
          <w:sz w:val="22"/>
          <w:lang w:val="en-GB"/>
        </w:rPr>
        <w:t>, replacing Roland Hanak</w:t>
      </w:r>
      <w:r w:rsidR="00441847" w:rsidRPr="00441847">
        <w:rPr>
          <w:color w:val="262727"/>
          <w:sz w:val="22"/>
          <w:lang w:val="en-GB"/>
        </w:rPr>
        <w:pict>
          <v:rect id="_x0000_i1027" style="width:453.6pt;height:1pt" o:hralign="center" o:hrstd="t" o:hrnoshade="t" o:hr="t" fillcolor="#0e4194" stroked="f"/>
        </w:pict>
      </w:r>
    </w:p>
    <w:p w:rsidR="00405BBB" w:rsidRPr="00C87945" w:rsidRDefault="00405BBB" w:rsidP="00B00A62">
      <w:pPr>
        <w:tabs>
          <w:tab w:val="left" w:pos="1843"/>
        </w:tabs>
        <w:jc w:val="both"/>
        <w:rPr>
          <w:b/>
          <w:bCs/>
          <w:color w:val="262727"/>
          <w:sz w:val="22"/>
          <w:lang w:val="en-GB"/>
        </w:rPr>
      </w:pPr>
      <w:r w:rsidRPr="00C87945">
        <w:rPr>
          <w:b/>
          <w:bCs/>
          <w:color w:val="262727"/>
          <w:sz w:val="22"/>
          <w:u w:val="single"/>
          <w:lang w:val="en-GB"/>
        </w:rPr>
        <w:t>Countries present</w:t>
      </w:r>
      <w:r w:rsidRPr="00C87945">
        <w:rPr>
          <w:b/>
          <w:bCs/>
          <w:color w:val="262727"/>
          <w:sz w:val="22"/>
          <w:lang w:val="en-GB"/>
        </w:rPr>
        <w:t xml:space="preserve"> (</w:t>
      </w:r>
      <w:r w:rsidR="00C171B8" w:rsidRPr="00C87945">
        <w:rPr>
          <w:b/>
          <w:bCs/>
          <w:color w:val="262727"/>
          <w:sz w:val="22"/>
          <w:lang w:val="en-GB"/>
        </w:rPr>
        <w:t xml:space="preserve">for </w:t>
      </w:r>
      <w:r w:rsidRPr="00C87945">
        <w:rPr>
          <w:b/>
          <w:bCs/>
          <w:color w:val="262727"/>
          <w:sz w:val="22"/>
          <w:lang w:val="en-GB"/>
        </w:rPr>
        <w:t>participants see at</w:t>
      </w:r>
      <w:r w:rsidR="00F6563A" w:rsidRPr="00C87945">
        <w:rPr>
          <w:b/>
          <w:bCs/>
          <w:color w:val="262727"/>
          <w:sz w:val="22"/>
          <w:lang w:val="en-GB"/>
        </w:rPr>
        <w:t>tached list</w:t>
      </w:r>
      <w:r w:rsidRPr="00C87945">
        <w:rPr>
          <w:b/>
          <w:bCs/>
          <w:color w:val="262727"/>
          <w:sz w:val="22"/>
          <w:lang w:val="en-GB"/>
        </w:rPr>
        <w:t>)</w:t>
      </w:r>
    </w:p>
    <w:p w:rsidR="00405BBB" w:rsidRPr="00C87945" w:rsidRDefault="00405BBB" w:rsidP="00B00A62">
      <w:pPr>
        <w:tabs>
          <w:tab w:val="left" w:pos="1843"/>
        </w:tabs>
        <w:spacing w:after="120"/>
        <w:jc w:val="both"/>
        <w:rPr>
          <w:color w:val="262727"/>
          <w:sz w:val="22"/>
          <w:lang w:val="en-GB"/>
        </w:rPr>
      </w:pPr>
      <w:r w:rsidRPr="00C87945">
        <w:rPr>
          <w:color w:val="262727"/>
          <w:sz w:val="22"/>
          <w:lang w:val="en-GB"/>
        </w:rPr>
        <w:t xml:space="preserve">Representatives of the following countries of the Danube Region: AT, BG, </w:t>
      </w:r>
      <w:r w:rsidR="00C97192" w:rsidRPr="00C87945">
        <w:rPr>
          <w:color w:val="262727"/>
          <w:sz w:val="22"/>
          <w:lang w:val="en-GB"/>
        </w:rPr>
        <w:t>CZ</w:t>
      </w:r>
      <w:r w:rsidR="00C97192">
        <w:rPr>
          <w:color w:val="262727"/>
          <w:sz w:val="22"/>
          <w:lang w:val="en-GB"/>
        </w:rPr>
        <w:t xml:space="preserve">, </w:t>
      </w:r>
      <w:r w:rsidRPr="00C87945">
        <w:rPr>
          <w:color w:val="262727"/>
          <w:sz w:val="22"/>
          <w:lang w:val="en-GB"/>
        </w:rPr>
        <w:t xml:space="preserve">DE, HR, MD, ME, RO, RS, </w:t>
      </w:r>
      <w:r w:rsidR="00AC13FB" w:rsidRPr="00C87945">
        <w:rPr>
          <w:color w:val="262727"/>
          <w:sz w:val="22"/>
          <w:lang w:val="en-GB"/>
        </w:rPr>
        <w:t>SK (condition for quorum fulfilled).</w:t>
      </w:r>
    </w:p>
    <w:p w:rsidR="00405BBB" w:rsidRPr="00C87945" w:rsidRDefault="00405BBB" w:rsidP="00B00A62">
      <w:pPr>
        <w:tabs>
          <w:tab w:val="left" w:pos="1843"/>
        </w:tabs>
        <w:spacing w:after="120"/>
        <w:jc w:val="both"/>
        <w:rPr>
          <w:color w:val="262727"/>
          <w:sz w:val="22"/>
          <w:lang w:val="en-GB"/>
        </w:rPr>
      </w:pPr>
      <w:r w:rsidRPr="00C87945">
        <w:rPr>
          <w:color w:val="262727"/>
          <w:sz w:val="22"/>
          <w:lang w:val="en-GB"/>
        </w:rPr>
        <w:t>Missing: BA, HU, SI; UA (has not nominated SG member)</w:t>
      </w:r>
    </w:p>
    <w:p w:rsidR="009E1EF9" w:rsidRPr="00C87945" w:rsidRDefault="00405BBB" w:rsidP="00B00A62">
      <w:pPr>
        <w:tabs>
          <w:tab w:val="left" w:pos="1843"/>
        </w:tabs>
        <w:spacing w:after="0"/>
        <w:jc w:val="both"/>
        <w:rPr>
          <w:color w:val="262727"/>
          <w:sz w:val="22"/>
          <w:lang w:val="en-GB"/>
        </w:rPr>
      </w:pPr>
      <w:r w:rsidRPr="00C87945">
        <w:rPr>
          <w:color w:val="262727"/>
          <w:sz w:val="22"/>
          <w:lang w:val="en-GB"/>
        </w:rPr>
        <w:t>European Commission (EC/DG Regio)</w:t>
      </w:r>
      <w:r w:rsidR="0049221F" w:rsidRPr="00C87945">
        <w:rPr>
          <w:color w:val="262727"/>
          <w:sz w:val="22"/>
          <w:lang w:val="en-GB"/>
        </w:rPr>
        <w:t xml:space="preserve">; </w:t>
      </w:r>
      <w:r w:rsidRPr="00C87945">
        <w:rPr>
          <w:color w:val="262727"/>
          <w:sz w:val="22"/>
          <w:lang w:val="en-GB"/>
        </w:rPr>
        <w:t>European</w:t>
      </w:r>
      <w:r w:rsidR="0049221F" w:rsidRPr="00C87945">
        <w:rPr>
          <w:color w:val="262727"/>
          <w:sz w:val="22"/>
          <w:lang w:val="en-GB"/>
        </w:rPr>
        <w:t xml:space="preserve"> Training Foundation (ETF</w:t>
      </w:r>
      <w:r w:rsidR="00C171B8" w:rsidRPr="00C87945">
        <w:rPr>
          <w:color w:val="262727"/>
          <w:sz w:val="22"/>
          <w:lang w:val="en-GB"/>
        </w:rPr>
        <w:t>)</w:t>
      </w:r>
    </w:p>
    <w:p w:rsidR="00405BBB" w:rsidRPr="00C87945" w:rsidRDefault="00441847" w:rsidP="00B00A62">
      <w:pPr>
        <w:tabs>
          <w:tab w:val="left" w:pos="1843"/>
        </w:tabs>
        <w:spacing w:after="0"/>
        <w:jc w:val="both"/>
        <w:rPr>
          <w:color w:val="262727"/>
          <w:sz w:val="22"/>
          <w:lang w:val="en-GB"/>
        </w:rPr>
      </w:pPr>
      <w:r w:rsidRPr="00441847">
        <w:rPr>
          <w:color w:val="262727"/>
          <w:sz w:val="22"/>
          <w:lang w:val="en-GB"/>
        </w:rPr>
        <w:pict>
          <v:rect id="_x0000_i1028" style="width:453.6pt;height:1pt" o:hralign="center" o:hrstd="t" o:hrnoshade="t" o:hr="t" fillcolor="#0e4194" stroked="f"/>
        </w:pict>
      </w:r>
    </w:p>
    <w:sdt>
      <w:sdtPr>
        <w:rPr>
          <w:rFonts w:ascii="Trebuchet MS" w:hAnsi="Trebuchet MS"/>
          <w:sz w:val="22"/>
          <w:u w:val="none"/>
          <w:lang w:val="de-DE"/>
        </w:rPr>
        <w:id w:val="47919242"/>
        <w:docPartObj>
          <w:docPartGallery w:val="Table of Contents"/>
          <w:docPartUnique/>
        </w:docPartObj>
      </w:sdtPr>
      <w:sdtEndPr>
        <w:rPr>
          <w:sz w:val="20"/>
        </w:rPr>
      </w:sdtEndPr>
      <w:sdtContent>
        <w:p w:rsidR="0051645C" w:rsidRPr="006E4DAA" w:rsidRDefault="00156A38" w:rsidP="00B00A62">
          <w:pPr>
            <w:pStyle w:val="Inhaltsverzeichnisberschrift"/>
            <w:numPr>
              <w:ilvl w:val="0"/>
              <w:numId w:val="0"/>
            </w:numPr>
            <w:rPr>
              <w:rFonts w:ascii="Trebuchet MS" w:hAnsi="Trebuchet MS"/>
              <w:sz w:val="20"/>
            </w:rPr>
          </w:pPr>
          <w:r w:rsidRPr="006E4DAA">
            <w:rPr>
              <w:rFonts w:ascii="Trebuchet MS" w:hAnsi="Trebuchet MS"/>
              <w:b/>
              <w:sz w:val="20"/>
            </w:rPr>
            <w:t>Agenda</w:t>
          </w:r>
        </w:p>
        <w:p w:rsidR="00C97192" w:rsidRDefault="00441847" w:rsidP="00B00A62">
          <w:pPr>
            <w:pStyle w:val="Verzeichnis1"/>
            <w:tabs>
              <w:tab w:val="left" w:pos="440"/>
              <w:tab w:val="right" w:leader="dot" w:pos="9062"/>
            </w:tabs>
            <w:jc w:val="both"/>
            <w:rPr>
              <w:rFonts w:asciiTheme="minorHAnsi" w:eastAsiaTheme="minorEastAsia" w:hAnsiTheme="minorHAnsi" w:cstheme="minorBidi"/>
              <w:noProof/>
              <w:sz w:val="22"/>
              <w:szCs w:val="22"/>
              <w:lang w:val="de-AT" w:eastAsia="de-AT"/>
            </w:rPr>
          </w:pPr>
          <w:r w:rsidRPr="006E4DAA">
            <w:rPr>
              <w:sz w:val="18"/>
              <w:lang w:val="en-GB"/>
            </w:rPr>
            <w:fldChar w:fldCharType="begin"/>
          </w:r>
          <w:r w:rsidR="0051645C" w:rsidRPr="006E4DAA">
            <w:rPr>
              <w:sz w:val="18"/>
              <w:lang w:val="en-GB"/>
            </w:rPr>
            <w:instrText xml:space="preserve"> TOC \o "1-3" \h \z \u </w:instrText>
          </w:r>
          <w:r w:rsidRPr="006E4DAA">
            <w:rPr>
              <w:sz w:val="18"/>
              <w:lang w:val="en-GB"/>
            </w:rPr>
            <w:fldChar w:fldCharType="separate"/>
          </w:r>
          <w:hyperlink w:anchor="_Toc345320099" w:history="1">
            <w:r w:rsidR="00C97192" w:rsidRPr="00096BDE">
              <w:rPr>
                <w:rStyle w:val="Hyperlink"/>
                <w:noProof/>
              </w:rPr>
              <w:t>0.</w:t>
            </w:r>
            <w:r w:rsidR="00C97192">
              <w:rPr>
                <w:rFonts w:asciiTheme="minorHAnsi" w:eastAsiaTheme="minorEastAsia" w:hAnsiTheme="minorHAnsi" w:cstheme="minorBidi"/>
                <w:noProof/>
                <w:sz w:val="22"/>
                <w:szCs w:val="22"/>
                <w:lang w:val="de-AT" w:eastAsia="de-AT"/>
              </w:rPr>
              <w:tab/>
            </w:r>
            <w:r w:rsidR="00C97192" w:rsidRPr="00096BDE">
              <w:rPr>
                <w:rStyle w:val="Hyperlink"/>
                <w:noProof/>
              </w:rPr>
              <w:t>Welcome/acceptance of the agenda</w:t>
            </w:r>
            <w:r w:rsidR="00C97192">
              <w:rPr>
                <w:noProof/>
                <w:webHidden/>
              </w:rPr>
              <w:tab/>
            </w:r>
            <w:r>
              <w:rPr>
                <w:noProof/>
                <w:webHidden/>
              </w:rPr>
              <w:fldChar w:fldCharType="begin"/>
            </w:r>
            <w:r w:rsidR="00C97192">
              <w:rPr>
                <w:noProof/>
                <w:webHidden/>
              </w:rPr>
              <w:instrText xml:space="preserve"> PAGEREF _Toc345320099 \h </w:instrText>
            </w:r>
            <w:r>
              <w:rPr>
                <w:noProof/>
                <w:webHidden/>
              </w:rPr>
            </w:r>
            <w:r>
              <w:rPr>
                <w:noProof/>
                <w:webHidden/>
              </w:rPr>
              <w:fldChar w:fldCharType="separate"/>
            </w:r>
            <w:r w:rsidR="00C97192">
              <w:rPr>
                <w:noProof/>
                <w:webHidden/>
              </w:rPr>
              <w:t>2</w:t>
            </w:r>
            <w:r>
              <w:rPr>
                <w:noProof/>
                <w:webHidden/>
              </w:rPr>
              <w:fldChar w:fldCharType="end"/>
            </w:r>
          </w:hyperlink>
        </w:p>
        <w:p w:rsidR="00C97192" w:rsidRDefault="00441847" w:rsidP="00B00A62">
          <w:pPr>
            <w:pStyle w:val="Verzeichnis1"/>
            <w:tabs>
              <w:tab w:val="left" w:pos="440"/>
              <w:tab w:val="right" w:leader="dot" w:pos="9062"/>
            </w:tabs>
            <w:jc w:val="both"/>
            <w:rPr>
              <w:rFonts w:asciiTheme="minorHAnsi" w:eastAsiaTheme="minorEastAsia" w:hAnsiTheme="minorHAnsi" w:cstheme="minorBidi"/>
              <w:noProof/>
              <w:sz w:val="22"/>
              <w:szCs w:val="22"/>
              <w:lang w:val="de-AT" w:eastAsia="de-AT"/>
            </w:rPr>
          </w:pPr>
          <w:hyperlink w:anchor="_Toc345320100" w:history="1">
            <w:r w:rsidR="00C97192" w:rsidRPr="00096BDE">
              <w:rPr>
                <w:rStyle w:val="Hyperlink"/>
                <w:noProof/>
              </w:rPr>
              <w:t>1.</w:t>
            </w:r>
            <w:r w:rsidR="00C97192">
              <w:rPr>
                <w:rFonts w:asciiTheme="minorHAnsi" w:eastAsiaTheme="minorEastAsia" w:hAnsiTheme="minorHAnsi" w:cstheme="minorBidi"/>
                <w:noProof/>
                <w:sz w:val="22"/>
                <w:szCs w:val="22"/>
                <w:lang w:val="de-AT" w:eastAsia="de-AT"/>
              </w:rPr>
              <w:tab/>
            </w:r>
            <w:r w:rsidR="00C97192" w:rsidRPr="00096BDE">
              <w:rPr>
                <w:rStyle w:val="Hyperlink"/>
                <w:noProof/>
              </w:rPr>
              <w:t>1st Annual Forum (AF) of the EUSDR – Workshop 5; Outcomes and Results, Future Perspective/Relevant Programmes for EUSDR/PA9</w:t>
            </w:r>
            <w:r w:rsidR="00C97192">
              <w:rPr>
                <w:noProof/>
                <w:webHidden/>
              </w:rPr>
              <w:tab/>
            </w:r>
            <w:r>
              <w:rPr>
                <w:noProof/>
                <w:webHidden/>
              </w:rPr>
              <w:fldChar w:fldCharType="begin"/>
            </w:r>
            <w:r w:rsidR="00C97192">
              <w:rPr>
                <w:noProof/>
                <w:webHidden/>
              </w:rPr>
              <w:instrText xml:space="preserve"> PAGEREF _Toc345320100 \h </w:instrText>
            </w:r>
            <w:r>
              <w:rPr>
                <w:noProof/>
                <w:webHidden/>
              </w:rPr>
            </w:r>
            <w:r>
              <w:rPr>
                <w:noProof/>
                <w:webHidden/>
              </w:rPr>
              <w:fldChar w:fldCharType="separate"/>
            </w:r>
            <w:r w:rsidR="00C97192">
              <w:rPr>
                <w:noProof/>
                <w:webHidden/>
              </w:rPr>
              <w:t>2</w:t>
            </w:r>
            <w:r>
              <w:rPr>
                <w:noProof/>
                <w:webHidden/>
              </w:rPr>
              <w:fldChar w:fldCharType="end"/>
            </w:r>
          </w:hyperlink>
        </w:p>
        <w:p w:rsidR="00C97192" w:rsidRDefault="00441847" w:rsidP="00B00A62">
          <w:pPr>
            <w:pStyle w:val="Verzeichnis1"/>
            <w:tabs>
              <w:tab w:val="left" w:pos="440"/>
              <w:tab w:val="right" w:leader="dot" w:pos="9062"/>
            </w:tabs>
            <w:jc w:val="both"/>
            <w:rPr>
              <w:rFonts w:asciiTheme="minorHAnsi" w:eastAsiaTheme="minorEastAsia" w:hAnsiTheme="minorHAnsi" w:cstheme="minorBidi"/>
              <w:noProof/>
              <w:sz w:val="22"/>
              <w:szCs w:val="22"/>
              <w:lang w:val="de-AT" w:eastAsia="de-AT"/>
            </w:rPr>
          </w:pPr>
          <w:hyperlink w:anchor="_Toc345320101" w:history="1">
            <w:r w:rsidR="00C97192" w:rsidRPr="00096BDE">
              <w:rPr>
                <w:rStyle w:val="Hyperlink"/>
                <w:noProof/>
              </w:rPr>
              <w:t>2.</w:t>
            </w:r>
            <w:r w:rsidR="00C97192">
              <w:rPr>
                <w:rFonts w:asciiTheme="minorHAnsi" w:eastAsiaTheme="minorEastAsia" w:hAnsiTheme="minorHAnsi" w:cstheme="minorBidi"/>
                <w:noProof/>
                <w:sz w:val="22"/>
                <w:szCs w:val="22"/>
                <w:lang w:val="de-AT" w:eastAsia="de-AT"/>
              </w:rPr>
              <w:tab/>
            </w:r>
            <w:r w:rsidR="00C97192" w:rsidRPr="00096BDE">
              <w:rPr>
                <w:rStyle w:val="Hyperlink"/>
                <w:noProof/>
              </w:rPr>
              <w:t>Future Approach regarding “Labelling” and “Letter of Recommendation”</w:t>
            </w:r>
            <w:r w:rsidR="00C97192">
              <w:rPr>
                <w:noProof/>
                <w:webHidden/>
              </w:rPr>
              <w:tab/>
            </w:r>
            <w:r>
              <w:rPr>
                <w:noProof/>
                <w:webHidden/>
              </w:rPr>
              <w:fldChar w:fldCharType="begin"/>
            </w:r>
            <w:r w:rsidR="00C97192">
              <w:rPr>
                <w:noProof/>
                <w:webHidden/>
              </w:rPr>
              <w:instrText xml:space="preserve"> PAGEREF _Toc345320101 \h </w:instrText>
            </w:r>
            <w:r>
              <w:rPr>
                <w:noProof/>
                <w:webHidden/>
              </w:rPr>
            </w:r>
            <w:r>
              <w:rPr>
                <w:noProof/>
                <w:webHidden/>
              </w:rPr>
              <w:fldChar w:fldCharType="separate"/>
            </w:r>
            <w:r w:rsidR="00C97192">
              <w:rPr>
                <w:noProof/>
                <w:webHidden/>
              </w:rPr>
              <w:t>2</w:t>
            </w:r>
            <w:r>
              <w:rPr>
                <w:noProof/>
                <w:webHidden/>
              </w:rPr>
              <w:fldChar w:fldCharType="end"/>
            </w:r>
          </w:hyperlink>
        </w:p>
        <w:p w:rsidR="00C97192" w:rsidRDefault="00441847" w:rsidP="00B00A62">
          <w:pPr>
            <w:pStyle w:val="Verzeichnis1"/>
            <w:tabs>
              <w:tab w:val="left" w:pos="440"/>
              <w:tab w:val="right" w:leader="dot" w:pos="9062"/>
            </w:tabs>
            <w:jc w:val="both"/>
            <w:rPr>
              <w:rFonts w:asciiTheme="minorHAnsi" w:eastAsiaTheme="minorEastAsia" w:hAnsiTheme="minorHAnsi" w:cstheme="minorBidi"/>
              <w:noProof/>
              <w:sz w:val="22"/>
              <w:szCs w:val="22"/>
              <w:lang w:val="de-AT" w:eastAsia="de-AT"/>
            </w:rPr>
          </w:pPr>
          <w:hyperlink w:anchor="_Toc345320102" w:history="1">
            <w:r w:rsidR="00C97192" w:rsidRPr="00096BDE">
              <w:rPr>
                <w:rStyle w:val="Hyperlink"/>
                <w:noProof/>
              </w:rPr>
              <w:t>3.</w:t>
            </w:r>
            <w:r w:rsidR="00C97192">
              <w:rPr>
                <w:rFonts w:asciiTheme="minorHAnsi" w:eastAsiaTheme="minorEastAsia" w:hAnsiTheme="minorHAnsi" w:cstheme="minorBidi"/>
                <w:noProof/>
                <w:sz w:val="22"/>
                <w:szCs w:val="22"/>
                <w:lang w:val="de-AT" w:eastAsia="de-AT"/>
              </w:rPr>
              <w:tab/>
            </w:r>
            <w:r w:rsidR="00C97192" w:rsidRPr="00096BDE">
              <w:rPr>
                <w:rStyle w:val="Hyperlink"/>
                <w:noProof/>
              </w:rPr>
              <w:t>Implications on Silence Procedure and Decision-making/ Relevant Programmes for EUSDR/PA9</w:t>
            </w:r>
            <w:r w:rsidR="00C97192">
              <w:rPr>
                <w:noProof/>
                <w:webHidden/>
              </w:rPr>
              <w:tab/>
            </w:r>
            <w:r>
              <w:rPr>
                <w:noProof/>
                <w:webHidden/>
              </w:rPr>
              <w:fldChar w:fldCharType="begin"/>
            </w:r>
            <w:r w:rsidR="00C97192">
              <w:rPr>
                <w:noProof/>
                <w:webHidden/>
              </w:rPr>
              <w:instrText xml:space="preserve"> PAGEREF _Toc345320102 \h </w:instrText>
            </w:r>
            <w:r>
              <w:rPr>
                <w:noProof/>
                <w:webHidden/>
              </w:rPr>
            </w:r>
            <w:r>
              <w:rPr>
                <w:noProof/>
                <w:webHidden/>
              </w:rPr>
              <w:fldChar w:fldCharType="separate"/>
            </w:r>
            <w:r w:rsidR="00C97192">
              <w:rPr>
                <w:noProof/>
                <w:webHidden/>
              </w:rPr>
              <w:t>2</w:t>
            </w:r>
            <w:r>
              <w:rPr>
                <w:noProof/>
                <w:webHidden/>
              </w:rPr>
              <w:fldChar w:fldCharType="end"/>
            </w:r>
          </w:hyperlink>
        </w:p>
        <w:p w:rsidR="00C97192" w:rsidRDefault="00441847" w:rsidP="00B00A62">
          <w:pPr>
            <w:pStyle w:val="Verzeichnis1"/>
            <w:tabs>
              <w:tab w:val="left" w:pos="440"/>
              <w:tab w:val="right" w:leader="dot" w:pos="9062"/>
            </w:tabs>
            <w:jc w:val="both"/>
            <w:rPr>
              <w:rFonts w:asciiTheme="minorHAnsi" w:eastAsiaTheme="minorEastAsia" w:hAnsiTheme="minorHAnsi" w:cstheme="minorBidi"/>
              <w:noProof/>
              <w:sz w:val="22"/>
              <w:szCs w:val="22"/>
              <w:lang w:val="de-AT" w:eastAsia="de-AT"/>
            </w:rPr>
          </w:pPr>
          <w:hyperlink w:anchor="_Toc345320103" w:history="1">
            <w:r w:rsidR="00C97192" w:rsidRPr="00096BDE">
              <w:rPr>
                <w:rStyle w:val="Hyperlink"/>
                <w:noProof/>
              </w:rPr>
              <w:t>4.</w:t>
            </w:r>
            <w:r w:rsidR="00C97192">
              <w:rPr>
                <w:rFonts w:asciiTheme="minorHAnsi" w:eastAsiaTheme="minorEastAsia" w:hAnsiTheme="minorHAnsi" w:cstheme="minorBidi"/>
                <w:noProof/>
                <w:sz w:val="22"/>
                <w:szCs w:val="22"/>
                <w:lang w:val="de-AT" w:eastAsia="de-AT"/>
              </w:rPr>
              <w:tab/>
            </w:r>
            <w:r w:rsidR="00C97192" w:rsidRPr="00096BDE">
              <w:rPr>
                <w:rStyle w:val="Hyperlink"/>
                <w:noProof/>
              </w:rPr>
              <w:t>Decision on Amendment of the Guidelines for the Functioning  of the Steering Group</w:t>
            </w:r>
            <w:r w:rsidR="00C97192">
              <w:rPr>
                <w:noProof/>
                <w:webHidden/>
              </w:rPr>
              <w:tab/>
            </w:r>
            <w:r>
              <w:rPr>
                <w:noProof/>
                <w:webHidden/>
              </w:rPr>
              <w:fldChar w:fldCharType="begin"/>
            </w:r>
            <w:r w:rsidR="00C97192">
              <w:rPr>
                <w:noProof/>
                <w:webHidden/>
              </w:rPr>
              <w:instrText xml:space="preserve"> PAGEREF _Toc345320103 \h </w:instrText>
            </w:r>
            <w:r>
              <w:rPr>
                <w:noProof/>
                <w:webHidden/>
              </w:rPr>
            </w:r>
            <w:r>
              <w:rPr>
                <w:noProof/>
                <w:webHidden/>
              </w:rPr>
              <w:fldChar w:fldCharType="separate"/>
            </w:r>
            <w:r w:rsidR="00C97192">
              <w:rPr>
                <w:noProof/>
                <w:webHidden/>
              </w:rPr>
              <w:t>4</w:t>
            </w:r>
            <w:r>
              <w:rPr>
                <w:noProof/>
                <w:webHidden/>
              </w:rPr>
              <w:fldChar w:fldCharType="end"/>
            </w:r>
          </w:hyperlink>
        </w:p>
        <w:p w:rsidR="00C97192" w:rsidRDefault="00441847" w:rsidP="00B00A62">
          <w:pPr>
            <w:pStyle w:val="Verzeichnis1"/>
            <w:tabs>
              <w:tab w:val="left" w:pos="440"/>
              <w:tab w:val="right" w:leader="dot" w:pos="9062"/>
            </w:tabs>
            <w:jc w:val="both"/>
            <w:rPr>
              <w:rFonts w:asciiTheme="minorHAnsi" w:eastAsiaTheme="minorEastAsia" w:hAnsiTheme="minorHAnsi" w:cstheme="minorBidi"/>
              <w:noProof/>
              <w:sz w:val="22"/>
              <w:szCs w:val="22"/>
              <w:lang w:val="de-AT" w:eastAsia="de-AT"/>
            </w:rPr>
          </w:pPr>
          <w:hyperlink w:anchor="_Toc345320104" w:history="1">
            <w:r w:rsidR="00C97192" w:rsidRPr="00096BDE">
              <w:rPr>
                <w:rStyle w:val="Hyperlink"/>
                <w:noProof/>
              </w:rPr>
              <w:t>5.</w:t>
            </w:r>
            <w:r w:rsidR="00C97192">
              <w:rPr>
                <w:rFonts w:asciiTheme="minorHAnsi" w:eastAsiaTheme="minorEastAsia" w:hAnsiTheme="minorHAnsi" w:cstheme="minorBidi"/>
                <w:noProof/>
                <w:sz w:val="22"/>
                <w:szCs w:val="22"/>
                <w:lang w:val="de-AT" w:eastAsia="de-AT"/>
              </w:rPr>
              <w:tab/>
            </w:r>
            <w:r w:rsidR="00C97192" w:rsidRPr="00096BDE">
              <w:rPr>
                <w:rStyle w:val="Hyperlink"/>
                <w:noProof/>
              </w:rPr>
              <w:t>Discussion and Decisions on Current Requests for Labelling/LoR</w:t>
            </w:r>
            <w:r w:rsidR="00C97192">
              <w:rPr>
                <w:noProof/>
                <w:webHidden/>
              </w:rPr>
              <w:tab/>
            </w:r>
            <w:r>
              <w:rPr>
                <w:noProof/>
                <w:webHidden/>
              </w:rPr>
              <w:fldChar w:fldCharType="begin"/>
            </w:r>
            <w:r w:rsidR="00C97192">
              <w:rPr>
                <w:noProof/>
                <w:webHidden/>
              </w:rPr>
              <w:instrText xml:space="preserve"> PAGEREF _Toc345320104 \h </w:instrText>
            </w:r>
            <w:r>
              <w:rPr>
                <w:noProof/>
                <w:webHidden/>
              </w:rPr>
            </w:r>
            <w:r>
              <w:rPr>
                <w:noProof/>
                <w:webHidden/>
              </w:rPr>
              <w:fldChar w:fldCharType="separate"/>
            </w:r>
            <w:r w:rsidR="00C97192">
              <w:rPr>
                <w:noProof/>
                <w:webHidden/>
              </w:rPr>
              <w:t>5</w:t>
            </w:r>
            <w:r>
              <w:rPr>
                <w:noProof/>
                <w:webHidden/>
              </w:rPr>
              <w:fldChar w:fldCharType="end"/>
            </w:r>
          </w:hyperlink>
        </w:p>
        <w:p w:rsidR="00C97192" w:rsidRDefault="00441847" w:rsidP="00B00A62">
          <w:pPr>
            <w:pStyle w:val="Verzeichnis1"/>
            <w:tabs>
              <w:tab w:val="left" w:pos="440"/>
              <w:tab w:val="right" w:leader="dot" w:pos="9062"/>
            </w:tabs>
            <w:jc w:val="both"/>
            <w:rPr>
              <w:rFonts w:asciiTheme="minorHAnsi" w:eastAsiaTheme="minorEastAsia" w:hAnsiTheme="minorHAnsi" w:cstheme="minorBidi"/>
              <w:noProof/>
              <w:sz w:val="22"/>
              <w:szCs w:val="22"/>
              <w:lang w:val="de-AT" w:eastAsia="de-AT"/>
            </w:rPr>
          </w:pPr>
          <w:hyperlink w:anchor="_Toc345320105" w:history="1">
            <w:r w:rsidR="00C97192" w:rsidRPr="00096BDE">
              <w:rPr>
                <w:rStyle w:val="Hyperlink"/>
                <w:noProof/>
              </w:rPr>
              <w:t>6.</w:t>
            </w:r>
            <w:r w:rsidR="00C97192">
              <w:rPr>
                <w:rFonts w:asciiTheme="minorHAnsi" w:eastAsiaTheme="minorEastAsia" w:hAnsiTheme="minorHAnsi" w:cstheme="minorBidi"/>
                <w:noProof/>
                <w:sz w:val="22"/>
                <w:szCs w:val="22"/>
                <w:lang w:val="de-AT" w:eastAsia="de-AT"/>
              </w:rPr>
              <w:tab/>
            </w:r>
            <w:r w:rsidR="00C97192" w:rsidRPr="00096BDE">
              <w:rPr>
                <w:rStyle w:val="Hyperlink"/>
                <w:noProof/>
              </w:rPr>
              <w:t>Civil Society Platform of the EUSDR</w:t>
            </w:r>
            <w:r w:rsidR="00C97192">
              <w:rPr>
                <w:noProof/>
                <w:webHidden/>
              </w:rPr>
              <w:tab/>
            </w:r>
            <w:r>
              <w:rPr>
                <w:noProof/>
                <w:webHidden/>
              </w:rPr>
              <w:fldChar w:fldCharType="begin"/>
            </w:r>
            <w:r w:rsidR="00C97192">
              <w:rPr>
                <w:noProof/>
                <w:webHidden/>
              </w:rPr>
              <w:instrText xml:space="preserve"> PAGEREF _Toc345320105 \h </w:instrText>
            </w:r>
            <w:r>
              <w:rPr>
                <w:noProof/>
                <w:webHidden/>
              </w:rPr>
            </w:r>
            <w:r>
              <w:rPr>
                <w:noProof/>
                <w:webHidden/>
              </w:rPr>
              <w:fldChar w:fldCharType="separate"/>
            </w:r>
            <w:r w:rsidR="00C97192">
              <w:rPr>
                <w:noProof/>
                <w:webHidden/>
              </w:rPr>
              <w:t>5</w:t>
            </w:r>
            <w:r>
              <w:rPr>
                <w:noProof/>
                <w:webHidden/>
              </w:rPr>
              <w:fldChar w:fldCharType="end"/>
            </w:r>
          </w:hyperlink>
        </w:p>
        <w:p w:rsidR="00C97192" w:rsidRDefault="00441847" w:rsidP="00B00A62">
          <w:pPr>
            <w:pStyle w:val="Verzeichnis1"/>
            <w:tabs>
              <w:tab w:val="left" w:pos="440"/>
              <w:tab w:val="right" w:leader="dot" w:pos="9062"/>
            </w:tabs>
            <w:jc w:val="both"/>
            <w:rPr>
              <w:rFonts w:asciiTheme="minorHAnsi" w:eastAsiaTheme="minorEastAsia" w:hAnsiTheme="minorHAnsi" w:cstheme="minorBidi"/>
              <w:noProof/>
              <w:sz w:val="22"/>
              <w:szCs w:val="22"/>
              <w:lang w:val="de-AT" w:eastAsia="de-AT"/>
            </w:rPr>
          </w:pPr>
          <w:hyperlink w:anchor="_Toc345320106" w:history="1">
            <w:r w:rsidR="00C97192" w:rsidRPr="00096BDE">
              <w:rPr>
                <w:rStyle w:val="Hyperlink"/>
                <w:noProof/>
              </w:rPr>
              <w:t>7.</w:t>
            </w:r>
            <w:r w:rsidR="00C97192">
              <w:rPr>
                <w:rFonts w:asciiTheme="minorHAnsi" w:eastAsiaTheme="minorEastAsia" w:hAnsiTheme="minorHAnsi" w:cstheme="minorBidi"/>
                <w:noProof/>
                <w:sz w:val="22"/>
                <w:szCs w:val="22"/>
                <w:lang w:val="de-AT" w:eastAsia="de-AT"/>
              </w:rPr>
              <w:tab/>
            </w:r>
            <w:r w:rsidR="00C97192" w:rsidRPr="00096BDE">
              <w:rPr>
                <w:rStyle w:val="Hyperlink"/>
                <w:noProof/>
              </w:rPr>
              <w:t>EC Technical Assistance (TA), Outlook for 2014 - 2015</w:t>
            </w:r>
            <w:r w:rsidR="00C97192">
              <w:rPr>
                <w:noProof/>
                <w:webHidden/>
              </w:rPr>
              <w:tab/>
            </w:r>
            <w:r>
              <w:rPr>
                <w:noProof/>
                <w:webHidden/>
              </w:rPr>
              <w:fldChar w:fldCharType="begin"/>
            </w:r>
            <w:r w:rsidR="00C97192">
              <w:rPr>
                <w:noProof/>
                <w:webHidden/>
              </w:rPr>
              <w:instrText xml:space="preserve"> PAGEREF _Toc345320106 \h </w:instrText>
            </w:r>
            <w:r>
              <w:rPr>
                <w:noProof/>
                <w:webHidden/>
              </w:rPr>
            </w:r>
            <w:r>
              <w:rPr>
                <w:noProof/>
                <w:webHidden/>
              </w:rPr>
              <w:fldChar w:fldCharType="separate"/>
            </w:r>
            <w:r w:rsidR="00C97192">
              <w:rPr>
                <w:noProof/>
                <w:webHidden/>
              </w:rPr>
              <w:t>5</w:t>
            </w:r>
            <w:r>
              <w:rPr>
                <w:noProof/>
                <w:webHidden/>
              </w:rPr>
              <w:fldChar w:fldCharType="end"/>
            </w:r>
          </w:hyperlink>
        </w:p>
        <w:p w:rsidR="00C97192" w:rsidRDefault="00441847" w:rsidP="00B00A62">
          <w:pPr>
            <w:pStyle w:val="Verzeichnis1"/>
            <w:tabs>
              <w:tab w:val="left" w:pos="440"/>
              <w:tab w:val="right" w:leader="dot" w:pos="9062"/>
            </w:tabs>
            <w:jc w:val="both"/>
            <w:rPr>
              <w:rFonts w:asciiTheme="minorHAnsi" w:eastAsiaTheme="minorEastAsia" w:hAnsiTheme="minorHAnsi" w:cstheme="minorBidi"/>
              <w:noProof/>
              <w:sz w:val="22"/>
              <w:szCs w:val="22"/>
              <w:lang w:val="de-AT" w:eastAsia="de-AT"/>
            </w:rPr>
          </w:pPr>
          <w:hyperlink w:anchor="_Toc345320107" w:history="1">
            <w:r w:rsidR="00C97192" w:rsidRPr="00096BDE">
              <w:rPr>
                <w:rStyle w:val="Hyperlink"/>
                <w:noProof/>
              </w:rPr>
              <w:t>8.</w:t>
            </w:r>
            <w:r w:rsidR="00C97192">
              <w:rPr>
                <w:rFonts w:asciiTheme="minorHAnsi" w:eastAsiaTheme="minorEastAsia" w:hAnsiTheme="minorHAnsi" w:cstheme="minorBidi"/>
                <w:noProof/>
                <w:sz w:val="22"/>
                <w:szCs w:val="22"/>
                <w:lang w:val="de-AT" w:eastAsia="de-AT"/>
              </w:rPr>
              <w:tab/>
            </w:r>
            <w:r w:rsidR="00C97192" w:rsidRPr="00096BDE">
              <w:rPr>
                <w:rStyle w:val="Hyperlink"/>
                <w:noProof/>
              </w:rPr>
              <w:t>Overview of Major Developments since SG 3</w:t>
            </w:r>
            <w:r w:rsidR="00C97192" w:rsidRPr="00096BDE">
              <w:rPr>
                <w:rStyle w:val="Hyperlink"/>
                <w:b/>
                <w:noProof/>
              </w:rPr>
              <w:t xml:space="preserve"> - </w:t>
            </w:r>
            <w:r w:rsidR="00C97192" w:rsidRPr="00096BDE">
              <w:rPr>
                <w:rStyle w:val="Hyperlink"/>
                <w:noProof/>
              </w:rPr>
              <w:t>Current Update of the Working Groups</w:t>
            </w:r>
            <w:r w:rsidR="00C97192">
              <w:rPr>
                <w:noProof/>
                <w:webHidden/>
              </w:rPr>
              <w:tab/>
            </w:r>
            <w:r>
              <w:rPr>
                <w:noProof/>
                <w:webHidden/>
              </w:rPr>
              <w:fldChar w:fldCharType="begin"/>
            </w:r>
            <w:r w:rsidR="00C97192">
              <w:rPr>
                <w:noProof/>
                <w:webHidden/>
              </w:rPr>
              <w:instrText xml:space="preserve"> PAGEREF _Toc345320107 \h </w:instrText>
            </w:r>
            <w:r>
              <w:rPr>
                <w:noProof/>
                <w:webHidden/>
              </w:rPr>
            </w:r>
            <w:r>
              <w:rPr>
                <w:noProof/>
                <w:webHidden/>
              </w:rPr>
              <w:fldChar w:fldCharType="separate"/>
            </w:r>
            <w:r w:rsidR="00C97192">
              <w:rPr>
                <w:noProof/>
                <w:webHidden/>
              </w:rPr>
              <w:t>5</w:t>
            </w:r>
            <w:r>
              <w:rPr>
                <w:noProof/>
                <w:webHidden/>
              </w:rPr>
              <w:fldChar w:fldCharType="end"/>
            </w:r>
          </w:hyperlink>
        </w:p>
        <w:p w:rsidR="00C97192" w:rsidRDefault="00441847" w:rsidP="00B00A62">
          <w:pPr>
            <w:pStyle w:val="Verzeichnis1"/>
            <w:tabs>
              <w:tab w:val="left" w:pos="440"/>
              <w:tab w:val="right" w:leader="dot" w:pos="9062"/>
            </w:tabs>
            <w:jc w:val="both"/>
            <w:rPr>
              <w:rFonts w:asciiTheme="minorHAnsi" w:eastAsiaTheme="minorEastAsia" w:hAnsiTheme="minorHAnsi" w:cstheme="minorBidi"/>
              <w:noProof/>
              <w:sz w:val="22"/>
              <w:szCs w:val="22"/>
              <w:lang w:val="de-AT" w:eastAsia="de-AT"/>
            </w:rPr>
          </w:pPr>
          <w:hyperlink w:anchor="_Toc345320108" w:history="1">
            <w:r w:rsidR="00C97192" w:rsidRPr="00096BDE">
              <w:rPr>
                <w:rStyle w:val="Hyperlink"/>
                <w:noProof/>
              </w:rPr>
              <w:t>9.</w:t>
            </w:r>
            <w:r w:rsidR="00C97192">
              <w:rPr>
                <w:rFonts w:asciiTheme="minorHAnsi" w:eastAsiaTheme="minorEastAsia" w:hAnsiTheme="minorHAnsi" w:cstheme="minorBidi"/>
                <w:noProof/>
                <w:sz w:val="22"/>
                <w:szCs w:val="22"/>
                <w:lang w:val="de-AT" w:eastAsia="de-AT"/>
              </w:rPr>
              <w:tab/>
            </w:r>
            <w:r w:rsidR="00C97192" w:rsidRPr="00096BDE">
              <w:rPr>
                <w:rStyle w:val="Hyperlink"/>
                <w:noProof/>
              </w:rPr>
              <w:t>Internet Platform of PA 9</w:t>
            </w:r>
            <w:r w:rsidR="00C97192">
              <w:rPr>
                <w:noProof/>
                <w:webHidden/>
              </w:rPr>
              <w:tab/>
            </w:r>
            <w:r>
              <w:rPr>
                <w:noProof/>
                <w:webHidden/>
              </w:rPr>
              <w:fldChar w:fldCharType="begin"/>
            </w:r>
            <w:r w:rsidR="00C97192">
              <w:rPr>
                <w:noProof/>
                <w:webHidden/>
              </w:rPr>
              <w:instrText xml:space="preserve"> PAGEREF _Toc345320108 \h </w:instrText>
            </w:r>
            <w:r>
              <w:rPr>
                <w:noProof/>
                <w:webHidden/>
              </w:rPr>
            </w:r>
            <w:r>
              <w:rPr>
                <w:noProof/>
                <w:webHidden/>
              </w:rPr>
              <w:fldChar w:fldCharType="separate"/>
            </w:r>
            <w:r w:rsidR="00C97192">
              <w:rPr>
                <w:noProof/>
                <w:webHidden/>
              </w:rPr>
              <w:t>7</w:t>
            </w:r>
            <w:r>
              <w:rPr>
                <w:noProof/>
                <w:webHidden/>
              </w:rPr>
              <w:fldChar w:fldCharType="end"/>
            </w:r>
          </w:hyperlink>
        </w:p>
        <w:p w:rsidR="00C97192" w:rsidRDefault="00441847" w:rsidP="00B00A62">
          <w:pPr>
            <w:pStyle w:val="Verzeichnis1"/>
            <w:tabs>
              <w:tab w:val="left" w:pos="660"/>
              <w:tab w:val="right" w:leader="dot" w:pos="9062"/>
            </w:tabs>
            <w:jc w:val="both"/>
            <w:rPr>
              <w:rFonts w:asciiTheme="minorHAnsi" w:eastAsiaTheme="minorEastAsia" w:hAnsiTheme="minorHAnsi" w:cstheme="minorBidi"/>
              <w:noProof/>
              <w:sz w:val="22"/>
              <w:szCs w:val="22"/>
              <w:lang w:val="de-AT" w:eastAsia="de-AT"/>
            </w:rPr>
          </w:pPr>
          <w:hyperlink w:anchor="_Toc345320109" w:history="1">
            <w:r w:rsidR="00C97192" w:rsidRPr="00096BDE">
              <w:rPr>
                <w:rStyle w:val="Hyperlink"/>
                <w:noProof/>
              </w:rPr>
              <w:t>10.</w:t>
            </w:r>
            <w:r w:rsidR="00C97192">
              <w:rPr>
                <w:rFonts w:asciiTheme="minorHAnsi" w:eastAsiaTheme="minorEastAsia" w:hAnsiTheme="minorHAnsi" w:cstheme="minorBidi"/>
                <w:noProof/>
                <w:sz w:val="22"/>
                <w:szCs w:val="22"/>
                <w:lang w:val="de-AT" w:eastAsia="de-AT"/>
              </w:rPr>
              <w:tab/>
            </w:r>
            <w:r w:rsidR="00C97192" w:rsidRPr="00096BDE">
              <w:rPr>
                <w:rStyle w:val="Hyperlink"/>
                <w:noProof/>
              </w:rPr>
              <w:t>Next Meeting and A.o.B.; Final Conclusions, Deliverables and Next Steps</w:t>
            </w:r>
            <w:r w:rsidR="00C97192">
              <w:rPr>
                <w:noProof/>
                <w:webHidden/>
              </w:rPr>
              <w:tab/>
            </w:r>
            <w:r>
              <w:rPr>
                <w:noProof/>
                <w:webHidden/>
              </w:rPr>
              <w:fldChar w:fldCharType="begin"/>
            </w:r>
            <w:r w:rsidR="00C97192">
              <w:rPr>
                <w:noProof/>
                <w:webHidden/>
              </w:rPr>
              <w:instrText xml:space="preserve"> PAGEREF _Toc345320109 \h </w:instrText>
            </w:r>
            <w:r>
              <w:rPr>
                <w:noProof/>
                <w:webHidden/>
              </w:rPr>
            </w:r>
            <w:r>
              <w:rPr>
                <w:noProof/>
                <w:webHidden/>
              </w:rPr>
              <w:fldChar w:fldCharType="separate"/>
            </w:r>
            <w:r w:rsidR="00C97192">
              <w:rPr>
                <w:noProof/>
                <w:webHidden/>
              </w:rPr>
              <w:t>7</w:t>
            </w:r>
            <w:r>
              <w:rPr>
                <w:noProof/>
                <w:webHidden/>
              </w:rPr>
              <w:fldChar w:fldCharType="end"/>
            </w:r>
          </w:hyperlink>
        </w:p>
        <w:p w:rsidR="0051645C" w:rsidRPr="000F0974" w:rsidRDefault="00441847" w:rsidP="00B00A62">
          <w:pPr>
            <w:pStyle w:val="Verzeichnis1"/>
            <w:tabs>
              <w:tab w:val="left" w:pos="660"/>
              <w:tab w:val="right" w:leader="dot" w:pos="9062"/>
            </w:tabs>
            <w:jc w:val="both"/>
            <w:rPr>
              <w:sz w:val="20"/>
              <w:lang w:val="en-GB"/>
            </w:rPr>
          </w:pPr>
          <w:r w:rsidRPr="006E4DAA">
            <w:rPr>
              <w:sz w:val="18"/>
              <w:lang w:val="en-GB"/>
            </w:rPr>
            <w:fldChar w:fldCharType="end"/>
          </w:r>
        </w:p>
      </w:sdtContent>
    </w:sdt>
    <w:p w:rsidR="00475E24" w:rsidRDefault="00475E24" w:rsidP="00B00A62">
      <w:pPr>
        <w:spacing w:after="240"/>
        <w:jc w:val="both"/>
        <w:rPr>
          <w:sz w:val="22"/>
          <w:u w:val="single"/>
          <w:lang w:val="en-GB"/>
        </w:rPr>
      </w:pPr>
      <w:r>
        <w:rPr>
          <w:sz w:val="22"/>
        </w:rPr>
        <w:br w:type="page"/>
      </w:r>
    </w:p>
    <w:p w:rsidR="00A86494" w:rsidRPr="00C87945" w:rsidRDefault="00A86494" w:rsidP="00B00A62">
      <w:pPr>
        <w:pStyle w:val="berschrift1"/>
        <w:rPr>
          <w:rFonts w:ascii="Trebuchet MS" w:hAnsi="Trebuchet MS"/>
          <w:sz w:val="22"/>
        </w:rPr>
      </w:pPr>
      <w:bookmarkStart w:id="0" w:name="_Toc345320099"/>
      <w:r w:rsidRPr="00C87945">
        <w:rPr>
          <w:rFonts w:ascii="Trebuchet MS" w:hAnsi="Trebuchet MS"/>
          <w:sz w:val="22"/>
        </w:rPr>
        <w:lastRenderedPageBreak/>
        <w:t>Welcome</w:t>
      </w:r>
      <w:r w:rsidR="00293C94" w:rsidRPr="00C87945">
        <w:rPr>
          <w:rFonts w:ascii="Trebuchet MS" w:hAnsi="Trebuchet MS"/>
          <w:sz w:val="22"/>
        </w:rPr>
        <w:t>/acceptance of the agenda</w:t>
      </w:r>
      <w:bookmarkEnd w:id="0"/>
    </w:p>
    <w:p w:rsidR="00A86494" w:rsidRPr="00C87945" w:rsidRDefault="00405BBB" w:rsidP="00B00A62">
      <w:pPr>
        <w:tabs>
          <w:tab w:val="left" w:pos="1843"/>
        </w:tabs>
        <w:jc w:val="both"/>
        <w:rPr>
          <w:sz w:val="22"/>
          <w:lang w:val="en-GB"/>
        </w:rPr>
      </w:pPr>
      <w:r w:rsidRPr="00C87945">
        <w:rPr>
          <w:sz w:val="22"/>
          <w:lang w:val="en-GB"/>
        </w:rPr>
        <w:t>Chair welcomes SG.</w:t>
      </w:r>
      <w:r w:rsidR="00A86494" w:rsidRPr="00C87945">
        <w:rPr>
          <w:sz w:val="22"/>
          <w:lang w:val="en-GB"/>
        </w:rPr>
        <w:t xml:space="preserve"> </w:t>
      </w:r>
      <w:r w:rsidR="008D14A9" w:rsidRPr="00C87945">
        <w:rPr>
          <w:sz w:val="22"/>
          <w:lang w:val="en-GB"/>
        </w:rPr>
        <w:t>New</w:t>
      </w:r>
      <w:r w:rsidR="00A86494" w:rsidRPr="00C87945">
        <w:rPr>
          <w:sz w:val="22"/>
          <w:lang w:val="en-GB"/>
        </w:rPr>
        <w:t xml:space="preserve"> </w:t>
      </w:r>
      <w:r w:rsidR="008D14A9" w:rsidRPr="00C87945">
        <w:rPr>
          <w:sz w:val="22"/>
          <w:lang w:val="en-GB"/>
        </w:rPr>
        <w:t>SG members and</w:t>
      </w:r>
      <w:r w:rsidR="00B02EBC" w:rsidRPr="00C87945">
        <w:rPr>
          <w:sz w:val="22"/>
          <w:lang w:val="en-GB"/>
        </w:rPr>
        <w:t>/or</w:t>
      </w:r>
      <w:r w:rsidR="008D14A9" w:rsidRPr="00C87945">
        <w:rPr>
          <w:sz w:val="22"/>
          <w:lang w:val="en-GB"/>
        </w:rPr>
        <w:t xml:space="preserve"> other </w:t>
      </w:r>
      <w:r w:rsidR="00B02EBC" w:rsidRPr="00C87945">
        <w:rPr>
          <w:sz w:val="22"/>
          <w:lang w:val="en-GB"/>
        </w:rPr>
        <w:t xml:space="preserve">new </w:t>
      </w:r>
      <w:r w:rsidR="008D14A9" w:rsidRPr="00C87945">
        <w:rPr>
          <w:sz w:val="22"/>
          <w:lang w:val="en-GB"/>
        </w:rPr>
        <w:t>participants introduce themselves: Rolf Ackermann (DE), Loredana Maravić (HR)</w:t>
      </w:r>
      <w:r w:rsidR="00A94E4D">
        <w:rPr>
          <w:sz w:val="22"/>
          <w:lang w:val="en-GB"/>
        </w:rPr>
        <w:t>,</w:t>
      </w:r>
      <w:r w:rsidR="008D14A9" w:rsidRPr="00C87945">
        <w:rPr>
          <w:sz w:val="22"/>
          <w:lang w:val="en-GB"/>
        </w:rPr>
        <w:t xml:space="preserve"> Ljiljana Mugoša (ME) and Janic</w:t>
      </w:r>
      <w:r w:rsidR="003E7F01">
        <w:rPr>
          <w:sz w:val="22"/>
          <w:lang w:val="en-GB"/>
        </w:rPr>
        <w:t>i</w:t>
      </w:r>
      <w:r w:rsidR="008D14A9" w:rsidRPr="00C87945">
        <w:rPr>
          <w:sz w:val="22"/>
          <w:lang w:val="en-GB"/>
        </w:rPr>
        <w:t>je Jeremić (RS)</w:t>
      </w:r>
    </w:p>
    <w:p w:rsidR="00A86494" w:rsidRPr="00C87945" w:rsidRDefault="00A86494" w:rsidP="00B00A62">
      <w:pPr>
        <w:tabs>
          <w:tab w:val="left" w:pos="1843"/>
        </w:tabs>
        <w:jc w:val="both"/>
        <w:rPr>
          <w:sz w:val="22"/>
          <w:lang w:val="en-GB"/>
        </w:rPr>
      </w:pPr>
      <w:r w:rsidRPr="00C87945">
        <w:rPr>
          <w:sz w:val="22"/>
          <w:lang w:val="en-GB"/>
        </w:rPr>
        <w:t>Agenda accepted.</w:t>
      </w:r>
    </w:p>
    <w:p w:rsidR="00D51EE8" w:rsidRPr="00C87945" w:rsidRDefault="00A86494" w:rsidP="00B00A62">
      <w:pPr>
        <w:pStyle w:val="berschrift1"/>
        <w:rPr>
          <w:rFonts w:ascii="Trebuchet MS" w:hAnsi="Trebuchet MS"/>
          <w:sz w:val="22"/>
        </w:rPr>
      </w:pPr>
      <w:bookmarkStart w:id="1" w:name="_Toc345320100"/>
      <w:r w:rsidRPr="00C87945">
        <w:rPr>
          <w:rFonts w:ascii="Trebuchet MS" w:hAnsi="Trebuchet MS"/>
          <w:sz w:val="22"/>
        </w:rPr>
        <w:t>1st Annual Forum</w:t>
      </w:r>
      <w:r w:rsidR="00D65589">
        <w:rPr>
          <w:rFonts w:ascii="Trebuchet MS" w:hAnsi="Trebuchet MS"/>
          <w:sz w:val="22"/>
        </w:rPr>
        <w:t xml:space="preserve"> (AF)</w:t>
      </w:r>
      <w:r w:rsidRPr="00C87945">
        <w:rPr>
          <w:rFonts w:ascii="Trebuchet MS" w:hAnsi="Trebuchet MS"/>
          <w:sz w:val="22"/>
        </w:rPr>
        <w:t xml:space="preserve"> of the EUSDR – Workshop 5; Outcomes and Results, Future Perspective</w:t>
      </w:r>
      <w:r w:rsidR="00864B93" w:rsidRPr="00C87945">
        <w:rPr>
          <w:rFonts w:ascii="Trebuchet MS" w:hAnsi="Trebuchet MS"/>
          <w:sz w:val="22"/>
        </w:rPr>
        <w:t>/Relevant Programmes for EUSDR/PA9</w:t>
      </w:r>
      <w:bookmarkEnd w:id="1"/>
    </w:p>
    <w:p w:rsidR="00D51EE8" w:rsidRPr="00C87945" w:rsidRDefault="00293C94" w:rsidP="00B00A62">
      <w:pPr>
        <w:pStyle w:val="berschrift1"/>
        <w:rPr>
          <w:rFonts w:ascii="Trebuchet MS" w:hAnsi="Trebuchet MS"/>
          <w:sz w:val="22"/>
        </w:rPr>
      </w:pPr>
      <w:bookmarkStart w:id="2" w:name="_Toc345320101"/>
      <w:r w:rsidRPr="00C87945">
        <w:rPr>
          <w:rFonts w:ascii="Trebuchet MS" w:hAnsi="Trebuchet MS"/>
          <w:sz w:val="22"/>
        </w:rPr>
        <w:t>Future Approach regarding “Labelling” and “Letter of Recommendation”</w:t>
      </w:r>
      <w:bookmarkEnd w:id="2"/>
      <w:r w:rsidRPr="00C87945">
        <w:rPr>
          <w:rFonts w:ascii="Trebuchet MS" w:hAnsi="Trebuchet MS"/>
          <w:sz w:val="22"/>
        </w:rPr>
        <w:t xml:space="preserve"> </w:t>
      </w:r>
    </w:p>
    <w:p w:rsidR="00A86494" w:rsidRPr="00C87945" w:rsidRDefault="00293C94" w:rsidP="00B00A62">
      <w:pPr>
        <w:pStyle w:val="berschrift1"/>
        <w:rPr>
          <w:rFonts w:ascii="Trebuchet MS" w:hAnsi="Trebuchet MS"/>
          <w:sz w:val="22"/>
        </w:rPr>
      </w:pPr>
      <w:bookmarkStart w:id="3" w:name="_Toc345320102"/>
      <w:r w:rsidRPr="00C87945">
        <w:rPr>
          <w:rFonts w:ascii="Trebuchet MS" w:hAnsi="Trebuchet MS"/>
          <w:sz w:val="22"/>
        </w:rPr>
        <w:t>Implications</w:t>
      </w:r>
      <w:r w:rsidR="00D51EE8" w:rsidRPr="00C87945">
        <w:rPr>
          <w:rFonts w:ascii="Trebuchet MS" w:hAnsi="Trebuchet MS"/>
          <w:sz w:val="22"/>
        </w:rPr>
        <w:t xml:space="preserve"> on </w:t>
      </w:r>
      <w:r w:rsidRPr="00C87945">
        <w:rPr>
          <w:rFonts w:ascii="Trebuchet MS" w:hAnsi="Trebuchet MS"/>
          <w:sz w:val="22"/>
        </w:rPr>
        <w:t>Silence Procedure and Decision-making</w:t>
      </w:r>
      <w:r w:rsidR="00864B93" w:rsidRPr="00C87945">
        <w:rPr>
          <w:rFonts w:ascii="Trebuchet MS" w:hAnsi="Trebuchet MS"/>
          <w:sz w:val="22"/>
        </w:rPr>
        <w:t>/ Relevant Programmes for EUSDR/PA9</w:t>
      </w:r>
      <w:bookmarkEnd w:id="3"/>
    </w:p>
    <w:p w:rsidR="00C244D4" w:rsidRDefault="00A86494" w:rsidP="00B00A62">
      <w:pPr>
        <w:tabs>
          <w:tab w:val="left" w:pos="1843"/>
        </w:tabs>
        <w:spacing w:after="0"/>
        <w:jc w:val="both"/>
        <w:rPr>
          <w:sz w:val="22"/>
          <w:lang w:val="en-GB"/>
        </w:rPr>
      </w:pPr>
      <w:r w:rsidRPr="00C87945">
        <w:rPr>
          <w:smallCaps/>
          <w:sz w:val="22"/>
          <w:lang w:val="en-GB"/>
        </w:rPr>
        <w:t>Schick</w:t>
      </w:r>
      <w:r w:rsidRPr="00C87945">
        <w:rPr>
          <w:sz w:val="22"/>
          <w:lang w:val="en-GB"/>
        </w:rPr>
        <w:t xml:space="preserve"> (AT</w:t>
      </w:r>
      <w:r w:rsidR="004443F0" w:rsidRPr="00C87945">
        <w:rPr>
          <w:sz w:val="22"/>
          <w:lang w:val="en-GB"/>
        </w:rPr>
        <w:t xml:space="preserve">, </w:t>
      </w:r>
      <w:r w:rsidR="00887E71" w:rsidRPr="00C87945">
        <w:rPr>
          <w:sz w:val="22"/>
          <w:lang w:val="en-GB"/>
        </w:rPr>
        <w:t>CHAIR</w:t>
      </w:r>
      <w:r w:rsidRPr="00C87945">
        <w:rPr>
          <w:sz w:val="22"/>
          <w:lang w:val="en-GB"/>
        </w:rPr>
        <w:t>) illustrates organisation of workshop 5 of the 1</w:t>
      </w:r>
      <w:r w:rsidRPr="00C87945">
        <w:rPr>
          <w:sz w:val="22"/>
          <w:vertAlign w:val="superscript"/>
          <w:lang w:val="en-GB"/>
        </w:rPr>
        <w:t>st</w:t>
      </w:r>
      <w:r w:rsidRPr="00C87945">
        <w:rPr>
          <w:sz w:val="22"/>
          <w:lang w:val="en-GB"/>
        </w:rPr>
        <w:t xml:space="preserve"> Annual Forum of the EUSDR</w:t>
      </w:r>
      <w:r w:rsidR="00C244D4">
        <w:rPr>
          <w:sz w:val="22"/>
          <w:lang w:val="en-GB"/>
        </w:rPr>
        <w:t xml:space="preserve"> (AF)</w:t>
      </w:r>
      <w:r w:rsidRPr="00C87945">
        <w:rPr>
          <w:sz w:val="22"/>
          <w:lang w:val="en-GB"/>
        </w:rPr>
        <w:t xml:space="preserve"> which took place in Regensburg on 27 and 28 November 2012. Priority Coordinators were invited to plan this workshop entitled “Promoting Empowerment, Smart Skills &amp; Inclusive Growth.” The workshop has led to a fruitful mutual exchange between education institutions, the economy and </w:t>
      </w:r>
      <w:r w:rsidR="00EB3F33" w:rsidRPr="00C87945">
        <w:rPr>
          <w:sz w:val="22"/>
          <w:lang w:val="en-GB"/>
        </w:rPr>
        <w:t xml:space="preserve">evidence-providing </w:t>
      </w:r>
      <w:r w:rsidRPr="00C87945">
        <w:rPr>
          <w:sz w:val="22"/>
          <w:lang w:val="en-GB"/>
        </w:rPr>
        <w:t>research institutions.</w:t>
      </w:r>
      <w:r w:rsidR="00C244D4">
        <w:rPr>
          <w:sz w:val="22"/>
          <w:lang w:val="en-GB"/>
        </w:rPr>
        <w:t xml:space="preserve"> The discussions at the AF also showed that i</w:t>
      </w:r>
      <w:r w:rsidR="00E324FC" w:rsidRPr="00E324FC">
        <w:rPr>
          <w:sz w:val="22"/>
          <w:lang w:val="en-GB"/>
        </w:rPr>
        <w:t xml:space="preserve">t remains a challenge to </w:t>
      </w:r>
      <w:r w:rsidR="00C244D4">
        <w:rPr>
          <w:sz w:val="22"/>
          <w:lang w:val="en-GB"/>
        </w:rPr>
        <w:t>position PA9 topics in the overall EUSDR and to highlight their key role.</w:t>
      </w:r>
    </w:p>
    <w:p w:rsidR="00C244D4" w:rsidRPr="00E324FC" w:rsidRDefault="00C244D4" w:rsidP="00B00A62">
      <w:pPr>
        <w:tabs>
          <w:tab w:val="left" w:pos="1843"/>
        </w:tabs>
        <w:spacing w:after="0"/>
        <w:jc w:val="both"/>
        <w:rPr>
          <w:sz w:val="22"/>
          <w:lang w:val="en-GB"/>
        </w:rPr>
      </w:pPr>
    </w:p>
    <w:p w:rsidR="00405BBB" w:rsidRPr="00C87945" w:rsidRDefault="00405BBB" w:rsidP="00B00A62">
      <w:pPr>
        <w:tabs>
          <w:tab w:val="left" w:pos="1843"/>
        </w:tabs>
        <w:spacing w:after="0"/>
        <w:jc w:val="both"/>
        <w:rPr>
          <w:sz w:val="22"/>
          <w:lang w:val="en-GB"/>
        </w:rPr>
      </w:pPr>
      <w:r w:rsidRPr="00C87945">
        <w:rPr>
          <w:smallCaps/>
          <w:sz w:val="22"/>
          <w:lang w:val="en-GB"/>
        </w:rPr>
        <w:t>Maravić</w:t>
      </w:r>
      <w:r w:rsidRPr="00C87945">
        <w:rPr>
          <w:sz w:val="22"/>
          <w:lang w:val="en-GB"/>
        </w:rPr>
        <w:t xml:space="preserve"> (HR) introduces herself as a new SG member on behalf of the HR Ministry for Education and points out that the SG has a very good structure.  </w:t>
      </w:r>
      <w:r w:rsidR="00AC13FB" w:rsidRPr="00C87945">
        <w:rPr>
          <w:sz w:val="22"/>
          <w:lang w:val="en-GB"/>
        </w:rPr>
        <w:t xml:space="preserve">Question arises, what the benefit of the letter of recommendation (LoR) is. Many institutions in HR cannot consider it, e.g. the National Agency for Lifelong Learning or IPA4 managing authority. Maravić concludes that there might be a missing link and the need for a project preparation facility. SG members should ask themselves what can be done in order to have some real funding. The benefit of the EUSDR is probably the fact to have a platform for finding partners. Within the framework </w:t>
      </w:r>
      <w:r w:rsidR="003E7F01">
        <w:rPr>
          <w:sz w:val="22"/>
          <w:lang w:val="en-GB"/>
        </w:rPr>
        <w:t>of “</w:t>
      </w:r>
      <w:r w:rsidR="00AC13FB" w:rsidRPr="00C87945">
        <w:rPr>
          <w:sz w:val="22"/>
          <w:lang w:val="en-GB"/>
        </w:rPr>
        <w:t>Erasmus for all”</w:t>
      </w:r>
      <w:r w:rsidR="001C109F">
        <w:rPr>
          <w:sz w:val="22"/>
          <w:lang w:val="en-GB"/>
        </w:rPr>
        <w:t>,</w:t>
      </w:r>
      <w:r w:rsidR="00AC13FB" w:rsidRPr="00C87945">
        <w:rPr>
          <w:sz w:val="22"/>
          <w:lang w:val="en-GB"/>
        </w:rPr>
        <w:t xml:space="preserve"> a</w:t>
      </w:r>
      <w:r w:rsidR="00D1081A" w:rsidRPr="00C87945">
        <w:rPr>
          <w:sz w:val="22"/>
          <w:lang w:val="en-GB"/>
        </w:rPr>
        <w:t>s well as in the Regional Funds</w:t>
      </w:r>
      <w:r w:rsidR="00AC13FB" w:rsidRPr="00C87945">
        <w:rPr>
          <w:sz w:val="22"/>
          <w:lang w:val="en-GB"/>
        </w:rPr>
        <w:t xml:space="preserve"> in the upcoming budget period, LoR should be considered.</w:t>
      </w:r>
    </w:p>
    <w:p w:rsidR="00D1081A" w:rsidRPr="00C87945" w:rsidRDefault="00D1081A" w:rsidP="00B00A62">
      <w:pPr>
        <w:tabs>
          <w:tab w:val="left" w:pos="1843"/>
        </w:tabs>
        <w:spacing w:after="0"/>
        <w:jc w:val="both"/>
        <w:rPr>
          <w:sz w:val="22"/>
          <w:lang w:val="en-GB"/>
        </w:rPr>
      </w:pPr>
    </w:p>
    <w:p w:rsidR="00D1081A" w:rsidRPr="00C87945" w:rsidRDefault="00D1081A" w:rsidP="00B00A62">
      <w:pPr>
        <w:tabs>
          <w:tab w:val="left" w:pos="1843"/>
        </w:tabs>
        <w:spacing w:after="0"/>
        <w:jc w:val="both"/>
        <w:rPr>
          <w:sz w:val="22"/>
          <w:lang w:val="en-GB"/>
        </w:rPr>
      </w:pPr>
      <w:r w:rsidRPr="00C87945">
        <w:rPr>
          <w:smallCaps/>
          <w:sz w:val="22"/>
          <w:lang w:val="en-GB"/>
        </w:rPr>
        <w:t xml:space="preserve">Damyanovic (ETF) </w:t>
      </w:r>
      <w:r w:rsidRPr="00C87945">
        <w:rPr>
          <w:sz w:val="22"/>
          <w:lang w:val="en-GB"/>
        </w:rPr>
        <w:t>underlines the good impressions and the politic</w:t>
      </w:r>
      <w:r w:rsidR="003E7F01">
        <w:rPr>
          <w:sz w:val="22"/>
          <w:lang w:val="en-GB"/>
        </w:rPr>
        <w:t>al commitment which the Annual F</w:t>
      </w:r>
      <w:r w:rsidRPr="00C87945">
        <w:rPr>
          <w:sz w:val="22"/>
          <w:lang w:val="en-GB"/>
        </w:rPr>
        <w:t>orum has delivered. The EUSDR should be considered as a philosophy, whereas funding is a tool. It is important to reach a maximum of clarity and to ensure that Education &amp; Training ar</w:t>
      </w:r>
      <w:r w:rsidR="006E4DAA">
        <w:rPr>
          <w:sz w:val="22"/>
          <w:lang w:val="en-GB"/>
        </w:rPr>
        <w:t>e on top of the agenda</w:t>
      </w:r>
      <w:r w:rsidR="005776D8">
        <w:rPr>
          <w:sz w:val="22"/>
          <w:lang w:val="en-GB"/>
        </w:rPr>
        <w:t>.</w:t>
      </w:r>
    </w:p>
    <w:p w:rsidR="00D1081A" w:rsidRPr="00C87945" w:rsidRDefault="00D1081A" w:rsidP="00B00A62">
      <w:pPr>
        <w:tabs>
          <w:tab w:val="left" w:pos="1843"/>
        </w:tabs>
        <w:spacing w:after="0"/>
        <w:jc w:val="both"/>
        <w:rPr>
          <w:sz w:val="22"/>
          <w:lang w:val="en-GB"/>
        </w:rPr>
      </w:pPr>
    </w:p>
    <w:p w:rsidR="00D1081A" w:rsidRPr="00C87945" w:rsidRDefault="00D1081A" w:rsidP="00B00A62">
      <w:pPr>
        <w:tabs>
          <w:tab w:val="left" w:pos="1843"/>
        </w:tabs>
        <w:spacing w:after="0"/>
        <w:jc w:val="both"/>
        <w:rPr>
          <w:sz w:val="22"/>
          <w:lang w:val="en-GB"/>
        </w:rPr>
      </w:pPr>
      <w:r w:rsidRPr="00C87945">
        <w:rPr>
          <w:smallCaps/>
          <w:sz w:val="22"/>
          <w:lang w:val="en-GB"/>
        </w:rPr>
        <w:t xml:space="preserve">Ivanković Knežević </w:t>
      </w:r>
      <w:r w:rsidRPr="00C87945">
        <w:rPr>
          <w:sz w:val="22"/>
          <w:lang w:val="en-GB"/>
        </w:rPr>
        <w:t>(HR) is in favour of projects to have additional points with a Lo</w:t>
      </w:r>
      <w:r w:rsidR="004443F0" w:rsidRPr="00C87945">
        <w:rPr>
          <w:sz w:val="22"/>
          <w:lang w:val="en-GB"/>
        </w:rPr>
        <w:t>R. The EC should support the SG</w:t>
      </w:r>
      <w:r w:rsidRPr="00C87945">
        <w:rPr>
          <w:sz w:val="22"/>
          <w:lang w:val="en-GB"/>
        </w:rPr>
        <w:t xml:space="preserve"> in order to support the EUSDR. </w:t>
      </w:r>
    </w:p>
    <w:p w:rsidR="00D1081A" w:rsidRPr="00C87945" w:rsidRDefault="00D1081A" w:rsidP="00B00A62">
      <w:pPr>
        <w:tabs>
          <w:tab w:val="left" w:pos="1843"/>
        </w:tabs>
        <w:spacing w:after="0"/>
        <w:jc w:val="both"/>
        <w:rPr>
          <w:smallCaps/>
          <w:sz w:val="22"/>
          <w:lang w:val="en-GB"/>
        </w:rPr>
      </w:pPr>
    </w:p>
    <w:p w:rsidR="00A86494" w:rsidRPr="00C87945" w:rsidRDefault="00D1081A" w:rsidP="00B00A62">
      <w:pPr>
        <w:tabs>
          <w:tab w:val="left" w:pos="1843"/>
        </w:tabs>
        <w:jc w:val="both"/>
        <w:rPr>
          <w:color w:val="262727"/>
          <w:sz w:val="22"/>
          <w:lang w:val="en-GB"/>
        </w:rPr>
      </w:pPr>
      <w:r w:rsidRPr="00C87945">
        <w:rPr>
          <w:smallCaps/>
          <w:sz w:val="22"/>
          <w:lang w:val="en-GB"/>
        </w:rPr>
        <w:t xml:space="preserve">Vladuţ </w:t>
      </w:r>
      <w:r w:rsidRPr="00C87945">
        <w:rPr>
          <w:color w:val="262727"/>
          <w:sz w:val="22"/>
          <w:lang w:val="en-GB"/>
        </w:rPr>
        <w:t xml:space="preserve">(RO) stresses that the topics of PA9 are </w:t>
      </w:r>
      <w:r w:rsidR="002172DA">
        <w:rPr>
          <w:color w:val="262727"/>
          <w:sz w:val="22"/>
          <w:lang w:val="en-GB"/>
        </w:rPr>
        <w:t xml:space="preserve">a </w:t>
      </w:r>
      <w:r w:rsidRPr="00C87945">
        <w:rPr>
          <w:color w:val="262727"/>
          <w:sz w:val="22"/>
          <w:lang w:val="en-GB"/>
        </w:rPr>
        <w:t>horizontal area and that the righ</w:t>
      </w:r>
      <w:r w:rsidR="004443F0" w:rsidRPr="00C87945">
        <w:rPr>
          <w:color w:val="262727"/>
          <w:sz w:val="22"/>
          <w:lang w:val="en-GB"/>
        </w:rPr>
        <w:t>t people are required to make t</w:t>
      </w:r>
      <w:r w:rsidRPr="00C87945">
        <w:rPr>
          <w:color w:val="262727"/>
          <w:sz w:val="22"/>
          <w:lang w:val="en-GB"/>
        </w:rPr>
        <w:t>h</w:t>
      </w:r>
      <w:r w:rsidR="004443F0" w:rsidRPr="00C87945">
        <w:rPr>
          <w:color w:val="262727"/>
          <w:sz w:val="22"/>
          <w:lang w:val="en-GB"/>
        </w:rPr>
        <w:t>e</w:t>
      </w:r>
      <w:r w:rsidRPr="00C87945">
        <w:rPr>
          <w:color w:val="262727"/>
          <w:sz w:val="22"/>
          <w:lang w:val="en-GB"/>
        </w:rPr>
        <w:t xml:space="preserve"> necessary efforts to </w:t>
      </w:r>
      <w:r w:rsidR="004443F0" w:rsidRPr="00C87945">
        <w:rPr>
          <w:color w:val="262727"/>
          <w:sz w:val="22"/>
          <w:lang w:val="en-GB"/>
        </w:rPr>
        <w:t>ensure the importance of PA9.</w:t>
      </w:r>
    </w:p>
    <w:p w:rsidR="004443F0" w:rsidRPr="00C87945" w:rsidRDefault="004443F0" w:rsidP="00B00A62">
      <w:pPr>
        <w:tabs>
          <w:tab w:val="left" w:pos="1843"/>
        </w:tabs>
        <w:jc w:val="both"/>
        <w:rPr>
          <w:bCs/>
          <w:color w:val="262727"/>
          <w:sz w:val="22"/>
          <w:lang w:val="en-GB"/>
        </w:rPr>
      </w:pPr>
      <w:r w:rsidRPr="00C87945">
        <w:rPr>
          <w:smallCaps/>
          <w:sz w:val="22"/>
          <w:lang w:val="en-GB"/>
        </w:rPr>
        <w:t>Kasparyan</w:t>
      </w:r>
      <w:r w:rsidRPr="00C87945">
        <w:rPr>
          <w:color w:val="262727"/>
          <w:sz w:val="22"/>
          <w:lang w:val="en-GB"/>
        </w:rPr>
        <w:t xml:space="preserve"> (BG) has participated in workshop 4 </w:t>
      </w:r>
      <w:r w:rsidRPr="00C87945">
        <w:rPr>
          <w:bCs/>
          <w:color w:val="262727"/>
          <w:sz w:val="22"/>
          <w:lang w:val="en-GB"/>
        </w:rPr>
        <w:t xml:space="preserve">“Innovative action for </w:t>
      </w:r>
      <w:r w:rsidR="00BE4C24">
        <w:rPr>
          <w:bCs/>
          <w:color w:val="262727"/>
          <w:sz w:val="22"/>
          <w:lang w:val="en-GB"/>
        </w:rPr>
        <w:t>successful Danube Enterprises” of the Annual Forum.</w:t>
      </w:r>
      <w:r w:rsidRPr="00C87945">
        <w:rPr>
          <w:bCs/>
          <w:color w:val="262727"/>
          <w:sz w:val="22"/>
          <w:lang w:val="en-GB"/>
        </w:rPr>
        <w:t xml:space="preserve"> Synergies with the respective Priority Area 8 “To support the competitiveness of enterprises”</w:t>
      </w:r>
      <w:r w:rsidR="00767ED4">
        <w:rPr>
          <w:bCs/>
          <w:color w:val="262727"/>
          <w:sz w:val="22"/>
          <w:lang w:val="en-GB"/>
        </w:rPr>
        <w:t xml:space="preserve"> should be used.</w:t>
      </w:r>
      <w:r w:rsidRPr="00C87945">
        <w:rPr>
          <w:bCs/>
          <w:color w:val="262727"/>
          <w:sz w:val="22"/>
          <w:lang w:val="en-GB"/>
        </w:rPr>
        <w:t xml:space="preserve"> A potential fund for the EUSDR could only be the seed money for the further use of </w:t>
      </w:r>
      <w:r w:rsidR="00DA29D7">
        <w:rPr>
          <w:bCs/>
          <w:color w:val="262727"/>
          <w:sz w:val="22"/>
          <w:lang w:val="en-GB"/>
        </w:rPr>
        <w:t xml:space="preserve">other </w:t>
      </w:r>
      <w:r w:rsidRPr="00C87945">
        <w:rPr>
          <w:bCs/>
          <w:color w:val="262727"/>
          <w:sz w:val="22"/>
          <w:lang w:val="en-GB"/>
        </w:rPr>
        <w:t>funding.</w:t>
      </w:r>
    </w:p>
    <w:p w:rsidR="00AB27CB" w:rsidRPr="00C87945" w:rsidRDefault="004443F0" w:rsidP="00B00A62">
      <w:pPr>
        <w:tabs>
          <w:tab w:val="left" w:pos="1843"/>
        </w:tabs>
        <w:jc w:val="both"/>
        <w:rPr>
          <w:color w:val="262727"/>
          <w:sz w:val="22"/>
          <w:lang w:val="en-GB"/>
        </w:rPr>
      </w:pPr>
      <w:r w:rsidRPr="00C87945">
        <w:rPr>
          <w:smallCaps/>
          <w:sz w:val="22"/>
          <w:lang w:val="en-GB"/>
        </w:rPr>
        <w:t xml:space="preserve">Nussmüller (EC) </w:t>
      </w:r>
      <w:r w:rsidRPr="00C87945">
        <w:rPr>
          <w:color w:val="262727"/>
          <w:sz w:val="22"/>
          <w:lang w:val="en-GB"/>
        </w:rPr>
        <w:t xml:space="preserve">emphasises the positive impression of the Annual Forum, its positive ambiance and the political commitment. The Annual Forum has been covered in the media. The discussion in workshop 5 was very interesting </w:t>
      </w:r>
      <w:r w:rsidR="0030343A" w:rsidRPr="00C87945">
        <w:rPr>
          <w:color w:val="262727"/>
          <w:sz w:val="22"/>
          <w:lang w:val="en-GB"/>
        </w:rPr>
        <w:t xml:space="preserve">and it is impressive what is already ongoing. As regards the upcoming budget period and legislative proposals for </w:t>
      </w:r>
      <w:r w:rsidR="0030343A" w:rsidRPr="00C87945">
        <w:rPr>
          <w:color w:val="262727"/>
          <w:sz w:val="22"/>
          <w:lang w:val="en-GB"/>
        </w:rPr>
        <w:lastRenderedPageBreak/>
        <w:t xml:space="preserve">regional funds, it is one main achievement that there will be one partnership agreement for these funds (ERDF, ESF, CF, </w:t>
      </w:r>
      <w:r w:rsidR="00976974">
        <w:rPr>
          <w:color w:val="262727"/>
          <w:sz w:val="22"/>
          <w:lang w:val="en-GB"/>
        </w:rPr>
        <w:t>EAFRD</w:t>
      </w:r>
      <w:r w:rsidR="0030343A" w:rsidRPr="00C87945">
        <w:rPr>
          <w:color w:val="262727"/>
          <w:sz w:val="22"/>
          <w:lang w:val="en-GB"/>
        </w:rPr>
        <w:t>, f</w:t>
      </w:r>
      <w:r w:rsidR="00C87857">
        <w:rPr>
          <w:color w:val="262727"/>
          <w:sz w:val="22"/>
          <w:lang w:val="en-GB"/>
        </w:rPr>
        <w:t>ishery fund). Each Operational P</w:t>
      </w:r>
      <w:r w:rsidR="0030343A" w:rsidRPr="00C87945">
        <w:rPr>
          <w:color w:val="262727"/>
          <w:sz w:val="22"/>
          <w:lang w:val="en-GB"/>
        </w:rPr>
        <w:t>rogramme in the Danube Region is relevant for the EUSDR, but there is a need to lay out how it will be supported.</w:t>
      </w:r>
      <w:r w:rsidR="002F752A" w:rsidRPr="00C87945">
        <w:rPr>
          <w:color w:val="262727"/>
          <w:sz w:val="22"/>
          <w:lang w:val="en-GB"/>
        </w:rPr>
        <w:t xml:space="preserve"> The EUSDR is mentioned in the regulation proposals, but the concrete support for the Strategy is not defined. The cooperation perspective of the Strategy should not be forgotten. </w:t>
      </w:r>
      <w:r w:rsidR="000E2F49" w:rsidRPr="00C87945">
        <w:rPr>
          <w:color w:val="262727"/>
          <w:sz w:val="22"/>
          <w:lang w:val="en-GB"/>
        </w:rPr>
        <w:t xml:space="preserve">PA9 </w:t>
      </w:r>
      <w:r w:rsidR="002F752A" w:rsidRPr="00C87945">
        <w:rPr>
          <w:color w:val="262727"/>
          <w:sz w:val="22"/>
          <w:lang w:val="en-GB"/>
        </w:rPr>
        <w:t>SG members should talk to their ministries that draft ESF and upcoming CBC programmes</w:t>
      </w:r>
      <w:r w:rsidR="000E2F49" w:rsidRPr="00C87945">
        <w:rPr>
          <w:color w:val="262727"/>
          <w:sz w:val="22"/>
          <w:lang w:val="en-GB"/>
        </w:rPr>
        <w:t xml:space="preserve"> and ask themselves what text should be in the Operational Programmes. Within European Transnational Cooperation, a new “Danube” programme will replace the current Southeast Europe programme. The geographic scope of this new Danube programme will comply with the EUSDR. One out of four priorities will be the support to the EUSDR. This priority will support mainly the governance </w:t>
      </w:r>
      <w:r w:rsidR="00E164B8" w:rsidRPr="00C87945">
        <w:rPr>
          <w:color w:val="262727"/>
          <w:sz w:val="22"/>
          <w:lang w:val="en-GB"/>
        </w:rPr>
        <w:t>structure;</w:t>
      </w:r>
      <w:r w:rsidR="000E2F49" w:rsidRPr="00C87945">
        <w:rPr>
          <w:color w:val="262727"/>
          <w:sz w:val="22"/>
          <w:lang w:val="en-GB"/>
        </w:rPr>
        <w:t xml:space="preserve"> the entire programme aims </w:t>
      </w:r>
      <w:r w:rsidR="00AB27CB" w:rsidRPr="00C87945">
        <w:rPr>
          <w:color w:val="262727"/>
          <w:sz w:val="22"/>
          <w:lang w:val="en-GB"/>
        </w:rPr>
        <w:t xml:space="preserve">rather at the preparation of projects. </w:t>
      </w:r>
    </w:p>
    <w:p w:rsidR="004443F0" w:rsidRPr="00C87945" w:rsidRDefault="00AB27CB" w:rsidP="00B00A62">
      <w:pPr>
        <w:tabs>
          <w:tab w:val="left" w:pos="1843"/>
        </w:tabs>
        <w:jc w:val="both"/>
        <w:rPr>
          <w:color w:val="262727"/>
          <w:sz w:val="22"/>
          <w:lang w:val="en-GB"/>
        </w:rPr>
      </w:pPr>
      <w:r w:rsidRPr="00C87945">
        <w:rPr>
          <w:color w:val="262727"/>
          <w:sz w:val="22"/>
          <w:lang w:val="en-GB"/>
        </w:rPr>
        <w:t xml:space="preserve">At the end of January, there will be a meeting of the PACs and the NCPs with the EC. </w:t>
      </w:r>
    </w:p>
    <w:p w:rsidR="00AB27CB" w:rsidRPr="00C87945" w:rsidRDefault="00AB27CB" w:rsidP="00B00A62">
      <w:pPr>
        <w:tabs>
          <w:tab w:val="left" w:pos="1843"/>
        </w:tabs>
        <w:jc w:val="both"/>
        <w:rPr>
          <w:color w:val="262727"/>
          <w:sz w:val="22"/>
          <w:lang w:val="en-GB"/>
        </w:rPr>
      </w:pPr>
      <w:r w:rsidRPr="00C87945">
        <w:rPr>
          <w:color w:val="262727"/>
          <w:sz w:val="22"/>
          <w:lang w:val="en-GB"/>
        </w:rPr>
        <w:t>The LoR is a “stamp” for a project which contributes to the EUSDR. There is a need to reflect on the instrument of the LoR and to discuss it.</w:t>
      </w:r>
    </w:p>
    <w:p w:rsidR="00AB27CB" w:rsidRPr="00C87945" w:rsidRDefault="00AB27CB" w:rsidP="00B00A62">
      <w:pPr>
        <w:tabs>
          <w:tab w:val="left" w:pos="1843"/>
        </w:tabs>
        <w:jc w:val="both"/>
        <w:rPr>
          <w:color w:val="262727"/>
          <w:sz w:val="22"/>
          <w:lang w:val="en-GB"/>
        </w:rPr>
      </w:pPr>
      <w:r w:rsidRPr="00C87945">
        <w:rPr>
          <w:smallCaps/>
          <w:sz w:val="22"/>
          <w:lang w:val="en-GB"/>
        </w:rPr>
        <w:t xml:space="preserve">Štěpánková (SK) </w:t>
      </w:r>
      <w:r w:rsidRPr="00C87945">
        <w:rPr>
          <w:color w:val="262727"/>
          <w:sz w:val="22"/>
          <w:lang w:val="en-GB"/>
        </w:rPr>
        <w:t xml:space="preserve">points out that there are a lot of overlaps with the other priorities of pillar 3 (PA7 &amp; PA8) of the EUSDR </w:t>
      </w:r>
      <w:r w:rsidR="00E503A1" w:rsidRPr="00C87945">
        <w:rPr>
          <w:color w:val="262727"/>
          <w:sz w:val="22"/>
          <w:lang w:val="en-GB"/>
        </w:rPr>
        <w:t>and contacts with these PAs should therefore be strengthened, as many initiatives are of the same nature.</w:t>
      </w:r>
    </w:p>
    <w:p w:rsidR="00E503A1" w:rsidRPr="00C87945" w:rsidRDefault="00E503A1" w:rsidP="00B00A62">
      <w:pPr>
        <w:tabs>
          <w:tab w:val="left" w:pos="1843"/>
        </w:tabs>
        <w:jc w:val="both"/>
        <w:rPr>
          <w:sz w:val="22"/>
          <w:lang w:val="en-GB"/>
        </w:rPr>
      </w:pPr>
      <w:r w:rsidRPr="00C87945">
        <w:rPr>
          <w:smallCaps/>
          <w:sz w:val="22"/>
          <w:lang w:val="en-GB"/>
        </w:rPr>
        <w:t xml:space="preserve">Damyanovic (ETF) </w:t>
      </w:r>
      <w:r w:rsidRPr="00C87945">
        <w:rPr>
          <w:sz w:val="22"/>
          <w:lang w:val="en-GB"/>
        </w:rPr>
        <w:t>sees potential synergies and complementarities with many other initiatives, e.g. the SEE Strategy 2020 of the former Stability Pact countries which was endorsed in Tirana. This strategy already includes many thematic areas that are also relevant for the EUSDR, such as inclusive growth or a higher employment rate. In this respect, existing initiatives should be combined.</w:t>
      </w:r>
    </w:p>
    <w:p w:rsidR="00E503A1" w:rsidRPr="00C87945" w:rsidRDefault="00E503A1" w:rsidP="00B00A62">
      <w:pPr>
        <w:tabs>
          <w:tab w:val="left" w:pos="1843"/>
        </w:tabs>
        <w:jc w:val="both"/>
        <w:rPr>
          <w:sz w:val="22"/>
          <w:lang w:val="en-GB"/>
        </w:rPr>
      </w:pPr>
      <w:r w:rsidRPr="00C87945">
        <w:rPr>
          <w:smallCaps/>
          <w:sz w:val="22"/>
          <w:lang w:val="en-GB"/>
        </w:rPr>
        <w:t>Isac</w:t>
      </w:r>
      <w:r w:rsidRPr="00C87945">
        <w:rPr>
          <w:sz w:val="22"/>
          <w:lang w:val="en-GB"/>
        </w:rPr>
        <w:t xml:space="preserve"> (MD) </w:t>
      </w:r>
      <w:r w:rsidR="00CA452E" w:rsidRPr="00C87945">
        <w:rPr>
          <w:sz w:val="22"/>
          <w:lang w:val="en-GB"/>
        </w:rPr>
        <w:t>points out that MD is not eligible for every programme. Moreover, it is very difficult to receive new project proposals.</w:t>
      </w:r>
    </w:p>
    <w:p w:rsidR="00D25ED5" w:rsidRPr="00C87945" w:rsidRDefault="00CA452E" w:rsidP="00B00A62">
      <w:pPr>
        <w:tabs>
          <w:tab w:val="left" w:pos="1843"/>
        </w:tabs>
        <w:jc w:val="both"/>
        <w:rPr>
          <w:sz w:val="22"/>
          <w:lang w:val="en-GB"/>
        </w:rPr>
      </w:pPr>
      <w:r w:rsidRPr="00C87945">
        <w:rPr>
          <w:smallCaps/>
          <w:sz w:val="22"/>
          <w:lang w:val="en-GB"/>
        </w:rPr>
        <w:t xml:space="preserve">Schick (AT) </w:t>
      </w:r>
      <w:r w:rsidRPr="00C87945">
        <w:rPr>
          <w:sz w:val="22"/>
          <w:lang w:val="en-GB"/>
        </w:rPr>
        <w:t xml:space="preserve">stresses that EUSDR projects have to match the criteria of PA9. Only international projects can be considered. There is </w:t>
      </w:r>
      <w:r w:rsidR="00895536" w:rsidRPr="00C87945">
        <w:rPr>
          <w:sz w:val="22"/>
          <w:lang w:val="en-GB"/>
        </w:rPr>
        <w:t>an</w:t>
      </w:r>
      <w:r w:rsidRPr="00C87945">
        <w:rPr>
          <w:sz w:val="22"/>
          <w:lang w:val="en-GB"/>
        </w:rPr>
        <w:t xml:space="preserve"> urgent need for the new Danube programme in the framework of the ETC to consider all the thematic priorities of the EUSDR</w:t>
      </w:r>
      <w:r w:rsidR="00D25ED5" w:rsidRPr="00C87945">
        <w:rPr>
          <w:sz w:val="22"/>
          <w:lang w:val="en-GB"/>
        </w:rPr>
        <w:t>, including PA9 and education, training</w:t>
      </w:r>
      <w:r w:rsidR="00D02E04" w:rsidRPr="00C87945">
        <w:rPr>
          <w:sz w:val="22"/>
          <w:lang w:val="en-GB"/>
        </w:rPr>
        <w:t xml:space="preserve"> and labour market issues. </w:t>
      </w:r>
      <w:r w:rsidR="002C1391">
        <w:rPr>
          <w:sz w:val="22"/>
          <w:lang w:val="en-GB"/>
        </w:rPr>
        <w:t>Furthermore, t</w:t>
      </w:r>
      <w:r w:rsidR="00D02E04" w:rsidRPr="00C87945">
        <w:rPr>
          <w:sz w:val="22"/>
          <w:lang w:val="en-GB"/>
        </w:rPr>
        <w:t>here</w:t>
      </w:r>
      <w:r w:rsidR="00D25ED5" w:rsidRPr="00C87945">
        <w:rPr>
          <w:sz w:val="22"/>
          <w:lang w:val="en-GB"/>
        </w:rPr>
        <w:t xml:space="preserve"> is a potential contradiction with the thematic concentration of programmes foreseen in the</w:t>
      </w:r>
      <w:r w:rsidR="00D02E04" w:rsidRPr="00C87945">
        <w:rPr>
          <w:sz w:val="22"/>
          <w:lang w:val="en-GB"/>
        </w:rPr>
        <w:t xml:space="preserve"> draft regulations for the next financial framework.</w:t>
      </w:r>
      <w:r w:rsidR="00D25ED5" w:rsidRPr="00C87945">
        <w:rPr>
          <w:sz w:val="22"/>
          <w:lang w:val="en-GB"/>
        </w:rPr>
        <w:t xml:space="preserve"> </w:t>
      </w:r>
      <w:r w:rsidR="00D02E04" w:rsidRPr="00C87945">
        <w:rPr>
          <w:sz w:val="22"/>
          <w:lang w:val="en-GB"/>
        </w:rPr>
        <w:t>The Danube</w:t>
      </w:r>
      <w:r w:rsidR="00D25ED5" w:rsidRPr="00C87945">
        <w:rPr>
          <w:sz w:val="22"/>
          <w:lang w:val="en-GB"/>
        </w:rPr>
        <w:t xml:space="preserve"> programme would be the only one to include all the DR countries. SG members are therefore requested to talk to their responsible colleagues. </w:t>
      </w:r>
    </w:p>
    <w:p w:rsidR="00CA452E" w:rsidRPr="00C87945" w:rsidRDefault="00D25ED5" w:rsidP="00B00A62">
      <w:pPr>
        <w:tabs>
          <w:tab w:val="left" w:pos="1843"/>
        </w:tabs>
        <w:jc w:val="both"/>
        <w:rPr>
          <w:sz w:val="22"/>
          <w:lang w:val="en-GB"/>
        </w:rPr>
      </w:pPr>
      <w:r w:rsidRPr="00C87945">
        <w:rPr>
          <w:smallCaps/>
          <w:sz w:val="22"/>
          <w:lang w:val="en-GB"/>
        </w:rPr>
        <w:t>Nussmüller</w:t>
      </w:r>
      <w:r w:rsidRPr="00C87945">
        <w:rPr>
          <w:sz w:val="22"/>
          <w:lang w:val="en-GB"/>
        </w:rPr>
        <w:t xml:space="preserve"> (EC) </w:t>
      </w:r>
      <w:r w:rsidR="00D02E04" w:rsidRPr="00C87945">
        <w:rPr>
          <w:sz w:val="22"/>
          <w:lang w:val="en-GB"/>
        </w:rPr>
        <w:t>points out</w:t>
      </w:r>
      <w:r w:rsidRPr="00C87945">
        <w:rPr>
          <w:sz w:val="22"/>
          <w:lang w:val="en-GB"/>
        </w:rPr>
        <w:t xml:space="preserve"> that the European Transnational Cooperation</w:t>
      </w:r>
      <w:r w:rsidR="00D02E04" w:rsidRPr="00C87945">
        <w:rPr>
          <w:sz w:val="22"/>
          <w:lang w:val="en-GB"/>
        </w:rPr>
        <w:t xml:space="preserve"> (ETC)</w:t>
      </w:r>
      <w:r w:rsidRPr="00C87945">
        <w:rPr>
          <w:sz w:val="22"/>
          <w:lang w:val="en-GB"/>
        </w:rPr>
        <w:t xml:space="preserve"> addresses thematic challenges and prepares more strategic long-term projects. Regional policy must already be justified vis-à-vis policy makers and EU citizens. The Council has </w:t>
      </w:r>
      <w:r w:rsidR="00D02E04" w:rsidRPr="00C87945">
        <w:rPr>
          <w:sz w:val="22"/>
          <w:lang w:val="en-GB"/>
        </w:rPr>
        <w:t xml:space="preserve">already </w:t>
      </w:r>
      <w:r w:rsidRPr="00C87945">
        <w:rPr>
          <w:sz w:val="22"/>
          <w:lang w:val="en-GB"/>
        </w:rPr>
        <w:t xml:space="preserve">stated </w:t>
      </w:r>
      <w:r w:rsidR="00D02E04" w:rsidRPr="00C87945">
        <w:rPr>
          <w:sz w:val="22"/>
          <w:lang w:val="en-GB"/>
        </w:rPr>
        <w:t>that the thematic focus will remain; now it is up to the EP and the GAC to agree.</w:t>
      </w:r>
    </w:p>
    <w:p w:rsidR="00D02E04" w:rsidRPr="00C87945" w:rsidRDefault="00D02E04" w:rsidP="00B00A62">
      <w:pPr>
        <w:tabs>
          <w:tab w:val="left" w:pos="1843"/>
        </w:tabs>
        <w:jc w:val="both"/>
        <w:rPr>
          <w:sz w:val="22"/>
          <w:lang w:val="en-GB"/>
        </w:rPr>
      </w:pPr>
      <w:r w:rsidRPr="00C87945">
        <w:rPr>
          <w:smallCaps/>
          <w:sz w:val="22"/>
          <w:lang w:val="en-GB"/>
        </w:rPr>
        <w:t xml:space="preserve">Nussmüller </w:t>
      </w:r>
      <w:r w:rsidRPr="00C87945">
        <w:rPr>
          <w:sz w:val="22"/>
          <w:lang w:val="en-GB"/>
        </w:rPr>
        <w:t>adds that the ETC also involves IPA and ENPI funding. Nonetheless, PA9 cannot focus exclusively on Structural Funds.</w:t>
      </w:r>
    </w:p>
    <w:p w:rsidR="00D02E04" w:rsidRPr="00C87945" w:rsidRDefault="00D02E04" w:rsidP="00B00A62">
      <w:pPr>
        <w:tabs>
          <w:tab w:val="left" w:pos="1843"/>
        </w:tabs>
        <w:jc w:val="both"/>
        <w:rPr>
          <w:sz w:val="22"/>
          <w:lang w:val="en-GB"/>
        </w:rPr>
      </w:pPr>
      <w:r w:rsidRPr="00C87945">
        <w:rPr>
          <w:smallCaps/>
          <w:sz w:val="22"/>
          <w:lang w:val="en-GB"/>
        </w:rPr>
        <w:t xml:space="preserve">Schick (AT) </w:t>
      </w:r>
      <w:r w:rsidRPr="00C87945">
        <w:rPr>
          <w:sz w:val="22"/>
          <w:lang w:val="en-GB"/>
        </w:rPr>
        <w:t>highlights the fact that Structural Funds also have the possibility to finance projects in the field of PA9</w:t>
      </w:r>
      <w:r w:rsidR="001936BD">
        <w:rPr>
          <w:sz w:val="22"/>
          <w:lang w:val="en-GB"/>
        </w:rPr>
        <w:t xml:space="preserve"> and mor</w:t>
      </w:r>
      <w:r w:rsidR="00F53650">
        <w:rPr>
          <w:sz w:val="22"/>
          <w:lang w:val="en-GB"/>
        </w:rPr>
        <w:t>e</w:t>
      </w:r>
      <w:r w:rsidR="001936BD">
        <w:rPr>
          <w:sz w:val="22"/>
          <w:lang w:val="en-GB"/>
        </w:rPr>
        <w:t xml:space="preserve"> precisely education</w:t>
      </w:r>
      <w:r w:rsidRPr="00C87945">
        <w:rPr>
          <w:sz w:val="22"/>
          <w:lang w:val="en-GB"/>
        </w:rPr>
        <w:t>, especially the ESF and the ERDF.</w:t>
      </w:r>
    </w:p>
    <w:p w:rsidR="00D02E04" w:rsidRPr="00C87945" w:rsidRDefault="00D02E04" w:rsidP="00B00A62">
      <w:pPr>
        <w:tabs>
          <w:tab w:val="left" w:pos="1843"/>
        </w:tabs>
        <w:jc w:val="both"/>
        <w:rPr>
          <w:sz w:val="22"/>
          <w:lang w:val="en-GB"/>
        </w:rPr>
      </w:pPr>
      <w:r w:rsidRPr="00C87945">
        <w:rPr>
          <w:smallCaps/>
          <w:sz w:val="22"/>
          <w:lang w:val="en-GB"/>
        </w:rPr>
        <w:lastRenderedPageBreak/>
        <w:t xml:space="preserve">Damyanovic (ETF) </w:t>
      </w:r>
      <w:r w:rsidR="009D0DAF" w:rsidRPr="00C87945">
        <w:rPr>
          <w:sz w:val="22"/>
          <w:lang w:val="en-GB"/>
        </w:rPr>
        <w:t xml:space="preserve">claims that the EUSDR should </w:t>
      </w:r>
      <w:r w:rsidR="007E7B1A">
        <w:rPr>
          <w:sz w:val="22"/>
          <w:lang w:val="en-GB"/>
        </w:rPr>
        <w:t xml:space="preserve">also </w:t>
      </w:r>
      <w:r w:rsidR="009D0DAF" w:rsidRPr="00C87945">
        <w:rPr>
          <w:sz w:val="22"/>
          <w:lang w:val="en-GB"/>
        </w:rPr>
        <w:t>be integrated into national programmes.</w:t>
      </w:r>
    </w:p>
    <w:p w:rsidR="009D0DAF" w:rsidRPr="00C87945" w:rsidRDefault="009D0DAF" w:rsidP="00B00A62">
      <w:pPr>
        <w:tabs>
          <w:tab w:val="left" w:pos="1843"/>
        </w:tabs>
        <w:jc w:val="both"/>
        <w:rPr>
          <w:sz w:val="22"/>
          <w:lang w:val="en-GB"/>
        </w:rPr>
      </w:pPr>
      <w:r w:rsidRPr="00C87945">
        <w:rPr>
          <w:smallCaps/>
          <w:sz w:val="22"/>
          <w:lang w:val="en-GB"/>
        </w:rPr>
        <w:t xml:space="preserve">Schick (AT) </w:t>
      </w:r>
      <w:r w:rsidRPr="00C87945">
        <w:rPr>
          <w:sz w:val="22"/>
          <w:lang w:val="en-GB"/>
        </w:rPr>
        <w:t xml:space="preserve">underlines that transnational cooperation is a core element for the implementation of the EUSDR and might also serve as a project preparation facility. </w:t>
      </w:r>
    </w:p>
    <w:p w:rsidR="009D0DAF" w:rsidRPr="00C87945" w:rsidRDefault="009D0DAF" w:rsidP="00B00A62">
      <w:pPr>
        <w:tabs>
          <w:tab w:val="left" w:pos="1843"/>
        </w:tabs>
        <w:jc w:val="both"/>
        <w:rPr>
          <w:sz w:val="22"/>
          <w:lang w:val="en-GB"/>
        </w:rPr>
      </w:pPr>
      <w:r w:rsidRPr="00C87945">
        <w:rPr>
          <w:smallCaps/>
          <w:sz w:val="22"/>
          <w:lang w:val="en-GB"/>
        </w:rPr>
        <w:t xml:space="preserve">Ackermann (DE) </w:t>
      </w:r>
      <w:r w:rsidRPr="00C87945">
        <w:rPr>
          <w:sz w:val="22"/>
          <w:lang w:val="en-GB"/>
        </w:rPr>
        <w:t>proposes to develop a common strategy to integrate the EUSDR into national strategies.</w:t>
      </w:r>
    </w:p>
    <w:p w:rsidR="009D0DAF" w:rsidRPr="00C87945" w:rsidRDefault="009D0DAF" w:rsidP="00B00A62">
      <w:pPr>
        <w:tabs>
          <w:tab w:val="left" w:pos="1843"/>
        </w:tabs>
        <w:jc w:val="both"/>
        <w:rPr>
          <w:sz w:val="22"/>
          <w:lang w:val="en-GB"/>
        </w:rPr>
      </w:pPr>
      <w:r w:rsidRPr="00C87945">
        <w:rPr>
          <w:smallCaps/>
          <w:sz w:val="22"/>
          <w:lang w:val="en-GB"/>
        </w:rPr>
        <w:t>Nussmüller</w:t>
      </w:r>
      <w:r w:rsidRPr="00C87945">
        <w:rPr>
          <w:sz w:val="22"/>
          <w:lang w:val="en-GB"/>
        </w:rPr>
        <w:t xml:space="preserve"> (EC) asks how PA9 would like to proceed with the LoR in the future.</w:t>
      </w:r>
    </w:p>
    <w:p w:rsidR="009D0DAF" w:rsidRPr="00C87945" w:rsidRDefault="009D0DAF" w:rsidP="00B00A62">
      <w:pPr>
        <w:tabs>
          <w:tab w:val="left" w:pos="1843"/>
        </w:tabs>
        <w:jc w:val="both"/>
        <w:rPr>
          <w:sz w:val="22"/>
          <w:lang w:val="en-GB"/>
        </w:rPr>
      </w:pPr>
      <w:r w:rsidRPr="00C87945">
        <w:rPr>
          <w:smallCaps/>
          <w:sz w:val="22"/>
          <w:lang w:val="en-GB"/>
        </w:rPr>
        <w:t xml:space="preserve">Ivanković Knežević </w:t>
      </w:r>
      <w:r w:rsidRPr="00C87945">
        <w:rPr>
          <w:sz w:val="22"/>
          <w:lang w:val="en-GB"/>
        </w:rPr>
        <w:t>(HR) proposes to integrate it in the respective Operational Programmes of each country of the Danube Region.</w:t>
      </w:r>
    </w:p>
    <w:p w:rsidR="009D0DAF" w:rsidRPr="00C87945" w:rsidRDefault="009D0DAF" w:rsidP="00B00A62">
      <w:pPr>
        <w:tabs>
          <w:tab w:val="left" w:pos="1843"/>
        </w:tabs>
        <w:jc w:val="both"/>
        <w:rPr>
          <w:sz w:val="22"/>
          <w:lang w:val="en-GB"/>
        </w:rPr>
      </w:pPr>
      <w:r w:rsidRPr="00C87945">
        <w:rPr>
          <w:sz w:val="22"/>
          <w:lang w:val="en-GB"/>
        </w:rPr>
        <w:t xml:space="preserve">SG agrees. Katarina </w:t>
      </w:r>
      <w:r w:rsidRPr="00C87945">
        <w:rPr>
          <w:smallCaps/>
          <w:sz w:val="22"/>
          <w:lang w:val="en-GB"/>
        </w:rPr>
        <w:t xml:space="preserve">Ivanković Knežević </w:t>
      </w:r>
      <w:r w:rsidRPr="00C87945">
        <w:rPr>
          <w:sz w:val="22"/>
          <w:lang w:val="en-GB"/>
        </w:rPr>
        <w:t xml:space="preserve">(HR) agrees to draft </w:t>
      </w:r>
      <w:r w:rsidR="004A2A7D">
        <w:rPr>
          <w:sz w:val="22"/>
          <w:lang w:val="en-GB"/>
        </w:rPr>
        <w:t xml:space="preserve">note and to send it to the PACs who will then </w:t>
      </w:r>
      <w:r w:rsidR="00602B1F">
        <w:rPr>
          <w:sz w:val="22"/>
          <w:lang w:val="en-GB"/>
        </w:rPr>
        <w:t>forward</w:t>
      </w:r>
      <w:r w:rsidR="004A2A7D">
        <w:rPr>
          <w:sz w:val="22"/>
          <w:lang w:val="en-GB"/>
        </w:rPr>
        <w:t xml:space="preserve"> it to the SG.</w:t>
      </w:r>
      <w:r w:rsidRPr="00C87945">
        <w:rPr>
          <w:sz w:val="22"/>
          <w:lang w:val="en-GB"/>
        </w:rPr>
        <w:t xml:space="preserve"> </w:t>
      </w:r>
    </w:p>
    <w:p w:rsidR="003A44E9" w:rsidRPr="00C87945" w:rsidRDefault="003A44E9" w:rsidP="00B00A62">
      <w:pPr>
        <w:tabs>
          <w:tab w:val="left" w:pos="1843"/>
        </w:tabs>
        <w:jc w:val="both"/>
        <w:rPr>
          <w:color w:val="262727"/>
          <w:sz w:val="22"/>
          <w:lang w:val="en-GB"/>
        </w:rPr>
      </w:pPr>
      <w:r w:rsidRPr="00C87945">
        <w:rPr>
          <w:smallCaps/>
          <w:sz w:val="22"/>
          <w:lang w:val="en-GB"/>
        </w:rPr>
        <w:t>Kasparyan</w:t>
      </w:r>
      <w:r w:rsidRPr="00C87945">
        <w:rPr>
          <w:color w:val="262727"/>
          <w:sz w:val="22"/>
          <w:lang w:val="en-GB"/>
        </w:rPr>
        <w:t xml:space="preserve"> (BG) adds that this could be done in cooperation with PA7 and PA8 once the note has been finalised.</w:t>
      </w:r>
    </w:p>
    <w:p w:rsidR="003A44E9" w:rsidRPr="008B3495" w:rsidRDefault="003A44E9" w:rsidP="00B00A62">
      <w:pPr>
        <w:tabs>
          <w:tab w:val="left" w:pos="1843"/>
        </w:tabs>
        <w:jc w:val="both"/>
        <w:rPr>
          <w:smallCaps/>
          <w:sz w:val="22"/>
          <w:lang w:val="en-GB"/>
        </w:rPr>
      </w:pPr>
      <w:r w:rsidRPr="00C87945">
        <w:rPr>
          <w:smallCaps/>
          <w:sz w:val="22"/>
          <w:lang w:val="en-GB"/>
        </w:rPr>
        <w:t xml:space="preserve">Schick (AT) </w:t>
      </w:r>
      <w:r w:rsidR="008B7E67" w:rsidRPr="008B7E67">
        <w:rPr>
          <w:color w:val="262727"/>
          <w:sz w:val="22"/>
          <w:lang w:val="en-GB"/>
        </w:rPr>
        <w:t xml:space="preserve">states </w:t>
      </w:r>
      <w:r w:rsidR="008B7E67">
        <w:rPr>
          <w:color w:val="262727"/>
          <w:sz w:val="22"/>
          <w:lang w:val="en-GB"/>
        </w:rPr>
        <w:t xml:space="preserve">that </w:t>
      </w:r>
      <w:r w:rsidR="008B3495" w:rsidRPr="008B7E67">
        <w:rPr>
          <w:color w:val="262727"/>
          <w:sz w:val="22"/>
          <w:lang w:val="en-GB"/>
        </w:rPr>
        <w:t>it is necessary to have further discussions on</w:t>
      </w:r>
      <w:r w:rsidR="008B7E67">
        <w:rPr>
          <w:color w:val="262727"/>
          <w:sz w:val="22"/>
          <w:lang w:val="en-GB"/>
        </w:rPr>
        <w:t xml:space="preserve"> the </w:t>
      </w:r>
      <w:r w:rsidR="008B3495" w:rsidRPr="008B7E67">
        <w:rPr>
          <w:color w:val="262727"/>
          <w:sz w:val="22"/>
          <w:lang w:val="en-GB"/>
        </w:rPr>
        <w:t>role</w:t>
      </w:r>
      <w:r w:rsidR="008B7E67">
        <w:rPr>
          <w:color w:val="262727"/>
          <w:sz w:val="22"/>
          <w:lang w:val="en-GB"/>
        </w:rPr>
        <w:t xml:space="preserve"> and the aim</w:t>
      </w:r>
      <w:r w:rsidR="008B3495" w:rsidRPr="008B7E67">
        <w:rPr>
          <w:color w:val="262727"/>
          <w:sz w:val="22"/>
          <w:lang w:val="en-GB"/>
        </w:rPr>
        <w:t xml:space="preserve"> of </w:t>
      </w:r>
      <w:r w:rsidR="008B7E67">
        <w:rPr>
          <w:color w:val="262727"/>
          <w:sz w:val="22"/>
          <w:lang w:val="en-GB"/>
        </w:rPr>
        <w:t>LoR</w:t>
      </w:r>
      <w:r w:rsidR="008B3495" w:rsidRPr="008B7E67">
        <w:rPr>
          <w:color w:val="262727"/>
          <w:sz w:val="22"/>
          <w:lang w:val="en-GB"/>
        </w:rPr>
        <w:t xml:space="preserve"> in</w:t>
      </w:r>
      <w:r w:rsidR="008B7E67">
        <w:rPr>
          <w:color w:val="262727"/>
          <w:sz w:val="22"/>
          <w:lang w:val="en-GB"/>
        </w:rPr>
        <w:t xml:space="preserve"> the</w:t>
      </w:r>
      <w:r w:rsidR="008B3495" w:rsidRPr="008B7E67">
        <w:rPr>
          <w:color w:val="262727"/>
          <w:sz w:val="22"/>
          <w:lang w:val="en-GB"/>
        </w:rPr>
        <w:t xml:space="preserve"> upcoming budget period</w:t>
      </w:r>
      <w:r w:rsidRPr="00C87945">
        <w:rPr>
          <w:sz w:val="22"/>
          <w:lang w:val="en-GB"/>
        </w:rPr>
        <w:t>.</w:t>
      </w:r>
    </w:p>
    <w:p w:rsidR="003A44E9" w:rsidRPr="00C87945" w:rsidRDefault="003A44E9" w:rsidP="00B00A62">
      <w:pPr>
        <w:tabs>
          <w:tab w:val="left" w:pos="1843"/>
        </w:tabs>
        <w:jc w:val="both"/>
        <w:rPr>
          <w:sz w:val="22"/>
          <w:lang w:val="en-GB"/>
        </w:rPr>
      </w:pPr>
      <w:r w:rsidRPr="00C87945">
        <w:rPr>
          <w:smallCaps/>
          <w:sz w:val="22"/>
          <w:lang w:val="en-GB"/>
        </w:rPr>
        <w:t>Stroie (RO)</w:t>
      </w:r>
      <w:r w:rsidRPr="00C87945">
        <w:rPr>
          <w:sz w:val="22"/>
          <w:lang w:val="en-GB"/>
        </w:rPr>
        <w:t xml:space="preserve"> doubts that the LoR can be used due to very restrictive selection criteria.</w:t>
      </w:r>
    </w:p>
    <w:p w:rsidR="003A44E9" w:rsidRPr="00C87945" w:rsidRDefault="003A44E9" w:rsidP="00B00A62">
      <w:pPr>
        <w:tabs>
          <w:tab w:val="left" w:pos="1843"/>
        </w:tabs>
        <w:jc w:val="both"/>
        <w:rPr>
          <w:sz w:val="22"/>
          <w:lang w:val="en-GB"/>
        </w:rPr>
      </w:pPr>
      <w:r w:rsidRPr="00C87945">
        <w:rPr>
          <w:smallCaps/>
          <w:sz w:val="22"/>
          <w:lang w:val="en-GB"/>
        </w:rPr>
        <w:t xml:space="preserve">Damyanovic (ETF) </w:t>
      </w:r>
      <w:r w:rsidRPr="00C87945">
        <w:rPr>
          <w:sz w:val="22"/>
          <w:lang w:val="en-GB"/>
        </w:rPr>
        <w:t>states that the LoR should mainly contribute to mark success stories.</w:t>
      </w:r>
    </w:p>
    <w:p w:rsidR="003A44E9" w:rsidRPr="00C87945" w:rsidRDefault="003A44E9" w:rsidP="00B00A62">
      <w:pPr>
        <w:tabs>
          <w:tab w:val="left" w:pos="1843"/>
        </w:tabs>
        <w:jc w:val="both"/>
        <w:rPr>
          <w:sz w:val="22"/>
          <w:lang w:val="en-GB"/>
        </w:rPr>
      </w:pPr>
      <w:r w:rsidRPr="00C87945">
        <w:rPr>
          <w:smallCaps/>
          <w:sz w:val="22"/>
          <w:lang w:val="en-GB"/>
        </w:rPr>
        <w:t xml:space="preserve">Schick (AT) </w:t>
      </w:r>
      <w:r w:rsidRPr="00C87945">
        <w:rPr>
          <w:sz w:val="22"/>
          <w:lang w:val="en-GB"/>
        </w:rPr>
        <w:t xml:space="preserve">asserts that it cannot be the PAC’s task to evaluate projects. This would </w:t>
      </w:r>
      <w:r w:rsidR="004C24C5" w:rsidRPr="00C87945">
        <w:rPr>
          <w:sz w:val="22"/>
          <w:lang w:val="en-GB"/>
        </w:rPr>
        <w:t>duplicate</w:t>
      </w:r>
      <w:r w:rsidRPr="00C87945">
        <w:rPr>
          <w:sz w:val="22"/>
          <w:lang w:val="en-GB"/>
        </w:rPr>
        <w:t xml:space="preserve"> </w:t>
      </w:r>
      <w:r w:rsidR="004C24C5" w:rsidRPr="00C87945">
        <w:rPr>
          <w:sz w:val="22"/>
          <w:lang w:val="en-GB"/>
        </w:rPr>
        <w:t>the work of National Agencies and Operational Programmes.</w:t>
      </w:r>
      <w:r w:rsidR="005B020D" w:rsidRPr="00C87945">
        <w:rPr>
          <w:sz w:val="22"/>
          <w:lang w:val="en-GB"/>
        </w:rPr>
        <w:t xml:space="preserve"> PACs can only focus on the essential question if the project contributes to the EUSDR and the project criteria of PA9.</w:t>
      </w:r>
    </w:p>
    <w:p w:rsidR="005B020D" w:rsidRPr="00C87945" w:rsidRDefault="005B020D" w:rsidP="00B00A62">
      <w:pPr>
        <w:tabs>
          <w:tab w:val="left" w:pos="1843"/>
        </w:tabs>
        <w:jc w:val="both"/>
        <w:rPr>
          <w:color w:val="262727"/>
          <w:sz w:val="22"/>
          <w:lang w:val="en-GB"/>
        </w:rPr>
      </w:pPr>
      <w:r w:rsidRPr="00C87945">
        <w:rPr>
          <w:smallCaps/>
          <w:sz w:val="22"/>
          <w:lang w:val="en-GB"/>
        </w:rPr>
        <w:t>Kasparyan</w:t>
      </w:r>
      <w:r w:rsidRPr="00C87945">
        <w:rPr>
          <w:color w:val="262727"/>
          <w:sz w:val="22"/>
          <w:lang w:val="en-GB"/>
        </w:rPr>
        <w:t xml:space="preserve"> (BG) agrees that the SG cannot take over the f</w:t>
      </w:r>
      <w:r w:rsidR="000B6211">
        <w:rPr>
          <w:color w:val="262727"/>
          <w:sz w:val="22"/>
          <w:lang w:val="en-GB"/>
        </w:rPr>
        <w:t>unction of Managing Authorities of project evaluation.</w:t>
      </w:r>
    </w:p>
    <w:p w:rsidR="005B020D" w:rsidRPr="00C87945" w:rsidRDefault="005B020D" w:rsidP="00B00A62">
      <w:pPr>
        <w:tabs>
          <w:tab w:val="left" w:pos="1843"/>
        </w:tabs>
        <w:jc w:val="both"/>
        <w:rPr>
          <w:sz w:val="22"/>
          <w:lang w:val="en-GB"/>
        </w:rPr>
      </w:pPr>
      <w:r w:rsidRPr="00C87945">
        <w:rPr>
          <w:smallCaps/>
          <w:sz w:val="22"/>
          <w:lang w:val="en-GB"/>
        </w:rPr>
        <w:t>Nussmüller</w:t>
      </w:r>
      <w:r w:rsidRPr="00C87945">
        <w:rPr>
          <w:sz w:val="22"/>
          <w:lang w:val="en-GB"/>
        </w:rPr>
        <w:t xml:space="preserve"> (EC) mentions that some programmes do already consider the LoRs. The SG of PA9 should do more than just a silence procedure. </w:t>
      </w:r>
    </w:p>
    <w:p w:rsidR="005B020D" w:rsidRDefault="005B020D" w:rsidP="00B00A62">
      <w:pPr>
        <w:tabs>
          <w:tab w:val="left" w:pos="1843"/>
        </w:tabs>
        <w:jc w:val="both"/>
        <w:rPr>
          <w:sz w:val="22"/>
          <w:lang w:val="en-GB"/>
        </w:rPr>
      </w:pPr>
      <w:r w:rsidRPr="00C87945">
        <w:rPr>
          <w:smallCaps/>
          <w:sz w:val="22"/>
          <w:lang w:val="en-GB"/>
        </w:rPr>
        <w:t xml:space="preserve">Nussmüller </w:t>
      </w:r>
      <w:r w:rsidRPr="00C87945">
        <w:rPr>
          <w:sz w:val="22"/>
          <w:lang w:val="en-GB"/>
        </w:rPr>
        <w:t>disagrees with the fact that the LoR is not working</w:t>
      </w:r>
      <w:r w:rsidR="0084340F" w:rsidRPr="00C87945">
        <w:rPr>
          <w:sz w:val="22"/>
          <w:lang w:val="en-GB"/>
        </w:rPr>
        <w:t xml:space="preserve"> and emphasizes that there are different approaches in different priority areas.</w:t>
      </w:r>
    </w:p>
    <w:p w:rsidR="00073CFB" w:rsidRPr="00C87945" w:rsidRDefault="00073CFB" w:rsidP="00B00A62">
      <w:pPr>
        <w:tabs>
          <w:tab w:val="left" w:pos="1843"/>
        </w:tabs>
        <w:jc w:val="both"/>
        <w:rPr>
          <w:sz w:val="22"/>
          <w:lang w:val="en-GB"/>
        </w:rPr>
      </w:pPr>
    </w:p>
    <w:p w:rsidR="00864B93" w:rsidRPr="00C87945" w:rsidRDefault="00864B93" w:rsidP="00B00A62">
      <w:pPr>
        <w:pStyle w:val="berschrift1"/>
        <w:rPr>
          <w:rFonts w:ascii="Trebuchet MS" w:hAnsi="Trebuchet MS"/>
          <w:sz w:val="22"/>
        </w:rPr>
      </w:pPr>
      <w:bookmarkStart w:id="4" w:name="_Toc345320103"/>
      <w:r w:rsidRPr="00C87945">
        <w:rPr>
          <w:rFonts w:ascii="Trebuchet MS" w:hAnsi="Trebuchet MS"/>
          <w:sz w:val="22"/>
        </w:rPr>
        <w:t xml:space="preserve">Decision on Amendment of the Guidelines for the Functioning </w:t>
      </w:r>
      <w:r w:rsidRPr="00C87945">
        <w:rPr>
          <w:rFonts w:ascii="Trebuchet MS" w:hAnsi="Trebuchet MS"/>
          <w:sz w:val="22"/>
        </w:rPr>
        <w:br/>
        <w:t>of the Steering Group</w:t>
      </w:r>
      <w:bookmarkEnd w:id="4"/>
    </w:p>
    <w:p w:rsidR="0084340F" w:rsidRPr="00C87945" w:rsidRDefault="0084340F" w:rsidP="00B00A62">
      <w:pPr>
        <w:tabs>
          <w:tab w:val="left" w:pos="1843"/>
        </w:tabs>
        <w:jc w:val="both"/>
        <w:rPr>
          <w:sz w:val="22"/>
          <w:lang w:val="en-GB"/>
        </w:rPr>
      </w:pPr>
      <w:r w:rsidRPr="00C87945">
        <w:rPr>
          <w:smallCaps/>
          <w:sz w:val="22"/>
          <w:lang w:val="en-GB"/>
        </w:rPr>
        <w:t xml:space="preserve">Schick (AT) </w:t>
      </w:r>
      <w:r w:rsidRPr="00C87945">
        <w:rPr>
          <w:sz w:val="22"/>
          <w:lang w:val="en-GB"/>
        </w:rPr>
        <w:t>proposes to amend the guidelines for the functioning of the Steering Group.</w:t>
      </w:r>
    </w:p>
    <w:p w:rsidR="0084340F" w:rsidRPr="00C87945" w:rsidRDefault="0084340F" w:rsidP="00B00A62">
      <w:pPr>
        <w:tabs>
          <w:tab w:val="left" w:pos="1843"/>
        </w:tabs>
        <w:jc w:val="both"/>
        <w:rPr>
          <w:sz w:val="22"/>
          <w:u w:val="single"/>
          <w:lang w:val="en-GB"/>
        </w:rPr>
      </w:pPr>
      <w:r w:rsidRPr="00C87945">
        <w:rPr>
          <w:sz w:val="22"/>
          <w:u w:val="single"/>
          <w:lang w:val="en-GB"/>
        </w:rPr>
        <w:t>No objections, chang</w:t>
      </w:r>
      <w:r w:rsidR="005A3C8C" w:rsidRPr="00C87945">
        <w:rPr>
          <w:sz w:val="22"/>
          <w:u w:val="single"/>
          <w:lang w:val="en-GB"/>
        </w:rPr>
        <w:t xml:space="preserve">e is approved, this includes the following additional </w:t>
      </w:r>
      <w:r w:rsidR="008D1FF4" w:rsidRPr="00C87945">
        <w:rPr>
          <w:sz w:val="22"/>
          <w:u w:val="single"/>
          <w:lang w:val="en-GB"/>
        </w:rPr>
        <w:t>paragraph</w:t>
      </w:r>
      <w:r w:rsidR="005A3C8C" w:rsidRPr="00C87945">
        <w:rPr>
          <w:sz w:val="22"/>
          <w:u w:val="single"/>
          <w:lang w:val="en-GB"/>
        </w:rPr>
        <w:t>:</w:t>
      </w:r>
    </w:p>
    <w:p w:rsidR="005A3C8C" w:rsidRPr="00C87945" w:rsidRDefault="005A3C8C" w:rsidP="00B00A62">
      <w:pPr>
        <w:pStyle w:val="Listenabsatz1"/>
        <w:spacing w:after="360"/>
        <w:jc w:val="both"/>
        <w:rPr>
          <w:rFonts w:ascii="Trebuchet MS" w:hAnsi="Trebuchet MS"/>
          <w:sz w:val="18"/>
          <w:szCs w:val="20"/>
          <w:lang w:val="en-GB"/>
        </w:rPr>
      </w:pPr>
      <w:r w:rsidRPr="00C87945">
        <w:rPr>
          <w:rFonts w:ascii="Trebuchet MS" w:hAnsi="Trebuchet MS"/>
          <w:i/>
          <w:sz w:val="18"/>
          <w:szCs w:val="20"/>
          <w:lang w:val="en-GB"/>
        </w:rPr>
        <w:t>“3</w:t>
      </w:r>
      <w:r w:rsidR="00560B16" w:rsidRPr="00C87945">
        <w:rPr>
          <w:rFonts w:ascii="Trebuchet MS" w:hAnsi="Trebuchet MS"/>
          <w:i/>
          <w:sz w:val="18"/>
          <w:szCs w:val="20"/>
          <w:lang w:val="en-GB"/>
        </w:rPr>
        <w:t>(i) For decisions on</w:t>
      </w:r>
      <w:r w:rsidRPr="00C87945">
        <w:rPr>
          <w:rFonts w:ascii="Trebuchet MS" w:hAnsi="Trebuchet MS"/>
          <w:i/>
          <w:sz w:val="18"/>
          <w:szCs w:val="20"/>
          <w:lang w:val="en-GB"/>
        </w:rPr>
        <w:t xml:space="preserve"> </w:t>
      </w:r>
      <w:r w:rsidR="00C00448" w:rsidRPr="00C87945">
        <w:rPr>
          <w:rFonts w:ascii="Trebuchet MS" w:hAnsi="Trebuchet MS"/>
          <w:i/>
          <w:sz w:val="18"/>
          <w:szCs w:val="20"/>
          <w:lang w:val="en-GB"/>
        </w:rPr>
        <w:t>labelling</w:t>
      </w:r>
      <w:r w:rsidRPr="00C87945">
        <w:rPr>
          <w:rFonts w:ascii="Trebuchet MS" w:hAnsi="Trebuchet MS"/>
          <w:i/>
          <w:sz w:val="18"/>
          <w:szCs w:val="20"/>
          <w:lang w:val="en-GB"/>
        </w:rPr>
        <w:t xml:space="preserve"> of or issuing a letter of recommendation for a project or an initiative, only comments that explicitly that relate to a potential non-compliance with the agreed and valid project criteria will be treated as an objection. Any other comments will be considered as recommendations to the project partners</w:t>
      </w:r>
      <w:r w:rsidRPr="00C87945">
        <w:rPr>
          <w:rFonts w:ascii="Trebuchet MS" w:hAnsi="Trebuchet MS"/>
          <w:sz w:val="18"/>
          <w:szCs w:val="20"/>
          <w:lang w:val="en-GB"/>
        </w:rPr>
        <w:t>”</w:t>
      </w:r>
    </w:p>
    <w:p w:rsidR="0084340F" w:rsidRPr="00C87945" w:rsidRDefault="0084340F" w:rsidP="00B00A62">
      <w:pPr>
        <w:pStyle w:val="berschrift1"/>
        <w:rPr>
          <w:rFonts w:ascii="Trebuchet MS" w:hAnsi="Trebuchet MS"/>
          <w:sz w:val="22"/>
        </w:rPr>
      </w:pPr>
      <w:bookmarkStart w:id="5" w:name="_Toc345320104"/>
      <w:r w:rsidRPr="00C87945">
        <w:rPr>
          <w:rFonts w:ascii="Trebuchet MS" w:hAnsi="Trebuchet MS"/>
          <w:sz w:val="22"/>
        </w:rPr>
        <w:lastRenderedPageBreak/>
        <w:t>Discussion and Decisions on Current Requests for Labelling/L</w:t>
      </w:r>
      <w:r w:rsidR="00475E24">
        <w:rPr>
          <w:rFonts w:ascii="Trebuchet MS" w:hAnsi="Trebuchet MS"/>
          <w:sz w:val="22"/>
        </w:rPr>
        <w:t>oR</w:t>
      </w:r>
      <w:bookmarkEnd w:id="5"/>
    </w:p>
    <w:p w:rsidR="0084340F" w:rsidRPr="00C87945" w:rsidRDefault="0084340F" w:rsidP="00B00A62">
      <w:pPr>
        <w:pStyle w:val="Listenabsatz"/>
        <w:numPr>
          <w:ilvl w:val="1"/>
          <w:numId w:val="7"/>
        </w:numPr>
        <w:tabs>
          <w:tab w:val="left" w:pos="1843"/>
        </w:tabs>
        <w:jc w:val="both"/>
        <w:rPr>
          <w:sz w:val="22"/>
          <w:lang w:val="en-GB"/>
        </w:rPr>
      </w:pPr>
      <w:r w:rsidRPr="00C87945">
        <w:rPr>
          <w:sz w:val="22"/>
          <w:lang w:val="en-GB"/>
        </w:rPr>
        <w:t>“Roma Responsibility Project”</w:t>
      </w:r>
    </w:p>
    <w:p w:rsidR="0084340F" w:rsidRPr="00C87945" w:rsidRDefault="008B3495" w:rsidP="00B00A62">
      <w:pPr>
        <w:tabs>
          <w:tab w:val="left" w:pos="1843"/>
        </w:tabs>
        <w:jc w:val="both"/>
        <w:rPr>
          <w:sz w:val="22"/>
          <w:lang w:val="en-GB"/>
        </w:rPr>
      </w:pPr>
      <w:r>
        <w:rPr>
          <w:sz w:val="22"/>
          <w:u w:val="single"/>
          <w:lang w:val="en-GB"/>
        </w:rPr>
        <w:t>SG recommends project</w:t>
      </w:r>
      <w:r w:rsidR="00CA742E">
        <w:rPr>
          <w:sz w:val="22"/>
          <w:u w:val="single"/>
          <w:lang w:val="en-GB"/>
        </w:rPr>
        <w:t xml:space="preserve"> and</w:t>
      </w:r>
      <w:r w:rsidR="0084340F" w:rsidRPr="00C87945">
        <w:rPr>
          <w:sz w:val="22"/>
          <w:u w:val="single"/>
          <w:lang w:val="en-GB"/>
        </w:rPr>
        <w:t xml:space="preserve"> agrees to make use of the term “</w:t>
      </w:r>
      <w:r w:rsidR="00BD1A95" w:rsidRPr="00C87945">
        <w:rPr>
          <w:sz w:val="22"/>
          <w:u w:val="single"/>
          <w:lang w:val="en-GB"/>
        </w:rPr>
        <w:t>Kosovo</w:t>
      </w:r>
      <w:r w:rsidR="00CA742E">
        <w:rPr>
          <w:rStyle w:val="Funotenzeichen"/>
          <w:sz w:val="22"/>
          <w:u w:val="single"/>
          <w:lang w:val="en-GB"/>
        </w:rPr>
        <w:footnoteReference w:customMarkFollows="1" w:id="1"/>
        <w:t>*</w:t>
      </w:r>
      <w:r w:rsidR="00C60587">
        <w:rPr>
          <w:sz w:val="22"/>
          <w:u w:val="single"/>
          <w:lang w:val="en-GB"/>
        </w:rPr>
        <w:t>”</w:t>
      </w:r>
      <w:r w:rsidR="006F5737">
        <w:rPr>
          <w:sz w:val="22"/>
          <w:u w:val="single"/>
          <w:lang w:val="en-GB"/>
        </w:rPr>
        <w:t>.</w:t>
      </w:r>
    </w:p>
    <w:p w:rsidR="0084340F" w:rsidRPr="00C87945" w:rsidRDefault="0084340F" w:rsidP="00B00A62">
      <w:pPr>
        <w:pStyle w:val="berschrift1"/>
        <w:rPr>
          <w:rFonts w:ascii="Trebuchet MS" w:hAnsi="Trebuchet MS"/>
          <w:sz w:val="22"/>
        </w:rPr>
      </w:pPr>
      <w:bookmarkStart w:id="6" w:name="_Toc345320105"/>
      <w:r w:rsidRPr="00C87945">
        <w:rPr>
          <w:rFonts w:ascii="Trebuchet MS" w:hAnsi="Trebuchet MS"/>
          <w:sz w:val="22"/>
        </w:rPr>
        <w:t>Civil Society Platform of the EUSDR</w:t>
      </w:r>
      <w:bookmarkEnd w:id="6"/>
    </w:p>
    <w:p w:rsidR="0084340F" w:rsidRPr="00C87945" w:rsidRDefault="0084340F" w:rsidP="00B00A62">
      <w:pPr>
        <w:tabs>
          <w:tab w:val="left" w:pos="1843"/>
        </w:tabs>
        <w:jc w:val="both"/>
        <w:rPr>
          <w:sz w:val="22"/>
          <w:lang w:val="en-GB"/>
        </w:rPr>
      </w:pPr>
      <w:r w:rsidRPr="00C87945">
        <w:rPr>
          <w:sz w:val="22"/>
          <w:lang w:val="en-GB"/>
        </w:rPr>
        <w:t xml:space="preserve">Following a request by PA10, </w:t>
      </w:r>
      <w:r w:rsidRPr="00C87945">
        <w:rPr>
          <w:smallCaps/>
          <w:sz w:val="22"/>
          <w:lang w:val="en-GB"/>
        </w:rPr>
        <w:t xml:space="preserve">Schick (AT) </w:t>
      </w:r>
      <w:r w:rsidR="003A5524" w:rsidRPr="00C87945">
        <w:rPr>
          <w:sz w:val="22"/>
          <w:lang w:val="en-GB"/>
        </w:rPr>
        <w:t>asks whether civil society platforms should be invited to the SG.</w:t>
      </w:r>
    </w:p>
    <w:p w:rsidR="003A5524" w:rsidRPr="00C87945" w:rsidRDefault="003A5524" w:rsidP="00B00A62">
      <w:pPr>
        <w:tabs>
          <w:tab w:val="left" w:pos="1843"/>
        </w:tabs>
        <w:jc w:val="both"/>
        <w:rPr>
          <w:sz w:val="22"/>
          <w:lang w:val="en-GB"/>
        </w:rPr>
      </w:pPr>
      <w:r w:rsidRPr="00C87945">
        <w:rPr>
          <w:sz w:val="22"/>
          <w:u w:val="single"/>
          <w:lang w:val="en-GB"/>
        </w:rPr>
        <w:t>SG agrees to invite only civil society organisations with strategic relevance. SG members send their ideas for organisations that could be involved by 25 January 2013</w:t>
      </w:r>
      <w:r w:rsidRPr="00C87945">
        <w:rPr>
          <w:sz w:val="22"/>
          <w:lang w:val="en-GB"/>
        </w:rPr>
        <w:t>. Proposals should have a maximum length of ~ 1000 characters.</w:t>
      </w:r>
    </w:p>
    <w:p w:rsidR="003A5524" w:rsidRPr="00C87945" w:rsidRDefault="003A5524" w:rsidP="00B00A62">
      <w:pPr>
        <w:pStyle w:val="berschrift1"/>
        <w:rPr>
          <w:rFonts w:ascii="Trebuchet MS" w:hAnsi="Trebuchet MS"/>
          <w:sz w:val="22"/>
        </w:rPr>
      </w:pPr>
      <w:bookmarkStart w:id="7" w:name="_Toc345320106"/>
      <w:r w:rsidRPr="00C87945">
        <w:rPr>
          <w:rFonts w:ascii="Trebuchet MS" w:hAnsi="Trebuchet MS"/>
          <w:sz w:val="22"/>
        </w:rPr>
        <w:t>EC Technical Assistance</w:t>
      </w:r>
      <w:r w:rsidR="00AE6042" w:rsidRPr="00C87945">
        <w:rPr>
          <w:rFonts w:ascii="Trebuchet MS" w:hAnsi="Trebuchet MS"/>
          <w:sz w:val="22"/>
        </w:rPr>
        <w:t xml:space="preserve"> (TA)</w:t>
      </w:r>
      <w:r w:rsidR="00612418" w:rsidRPr="00C87945">
        <w:rPr>
          <w:rFonts w:ascii="Trebuchet MS" w:hAnsi="Trebuchet MS"/>
          <w:sz w:val="22"/>
        </w:rPr>
        <w:t>, Outlook for 2014 -</w:t>
      </w:r>
      <w:r w:rsidRPr="00C87945">
        <w:rPr>
          <w:rFonts w:ascii="Trebuchet MS" w:hAnsi="Trebuchet MS"/>
          <w:sz w:val="22"/>
        </w:rPr>
        <w:t xml:space="preserve"> 2015</w:t>
      </w:r>
      <w:bookmarkEnd w:id="7"/>
    </w:p>
    <w:p w:rsidR="0084340F" w:rsidRPr="00C87945" w:rsidRDefault="00AE6042" w:rsidP="00B00A62">
      <w:pPr>
        <w:tabs>
          <w:tab w:val="left" w:pos="1843"/>
        </w:tabs>
        <w:jc w:val="both"/>
        <w:rPr>
          <w:sz w:val="22"/>
          <w:lang w:val="en-GB"/>
        </w:rPr>
      </w:pPr>
      <w:r w:rsidRPr="00C87945">
        <w:rPr>
          <w:smallCaps/>
          <w:sz w:val="22"/>
          <w:lang w:val="en-GB"/>
        </w:rPr>
        <w:t xml:space="preserve">Nussmüller </w:t>
      </w:r>
      <w:r w:rsidRPr="00C87945">
        <w:rPr>
          <w:sz w:val="22"/>
          <w:lang w:val="en-GB"/>
        </w:rPr>
        <w:t xml:space="preserve">(EK) states that the TA is being processed and due to be signed by </w:t>
      </w:r>
      <w:r w:rsidR="004876B8" w:rsidRPr="00C87945">
        <w:rPr>
          <w:sz w:val="22"/>
          <w:lang w:val="en-GB"/>
        </w:rPr>
        <w:t>the</w:t>
      </w:r>
      <w:r w:rsidR="007F61E1">
        <w:rPr>
          <w:sz w:val="22"/>
          <w:lang w:val="en-GB"/>
        </w:rPr>
        <w:t xml:space="preserve"> end of 2012</w:t>
      </w:r>
      <w:r w:rsidRPr="00C87945">
        <w:rPr>
          <w:sz w:val="22"/>
          <w:lang w:val="en-GB"/>
        </w:rPr>
        <w:t xml:space="preserve">. EP suggests pilot projects and preparatory actions. </w:t>
      </w:r>
      <w:r w:rsidR="00DA4E24" w:rsidRPr="00C87945">
        <w:rPr>
          <w:sz w:val="22"/>
          <w:lang w:val="en-GB"/>
        </w:rPr>
        <w:t xml:space="preserve">TA </w:t>
      </w:r>
      <w:r w:rsidRPr="00C87945">
        <w:rPr>
          <w:sz w:val="22"/>
          <w:lang w:val="en-GB"/>
        </w:rPr>
        <w:t>will be used to bridge the period without</w:t>
      </w:r>
      <w:r w:rsidR="00DA4E24" w:rsidRPr="00DA4E24">
        <w:rPr>
          <w:sz w:val="22"/>
          <w:lang w:val="en-GB"/>
        </w:rPr>
        <w:t xml:space="preserve"> </w:t>
      </w:r>
      <w:r w:rsidR="00504686">
        <w:rPr>
          <w:sz w:val="22"/>
          <w:lang w:val="en-GB"/>
        </w:rPr>
        <w:t xml:space="preserve">specific assistance from </w:t>
      </w:r>
      <w:r w:rsidR="00DA4E24" w:rsidRPr="00C87945">
        <w:rPr>
          <w:sz w:val="22"/>
          <w:lang w:val="en-GB"/>
        </w:rPr>
        <w:t xml:space="preserve">European Transnational </w:t>
      </w:r>
      <w:r w:rsidR="00636510">
        <w:rPr>
          <w:sz w:val="22"/>
          <w:lang w:val="en-GB"/>
        </w:rPr>
        <w:t>C</w:t>
      </w:r>
      <w:r w:rsidR="00DA4E24" w:rsidRPr="00C87945">
        <w:rPr>
          <w:sz w:val="22"/>
          <w:lang w:val="en-GB"/>
        </w:rPr>
        <w:t>ooperation</w:t>
      </w:r>
      <w:r w:rsidRPr="00C87945">
        <w:rPr>
          <w:sz w:val="22"/>
          <w:lang w:val="en-GB"/>
        </w:rPr>
        <w:t>. The new Danube programme could be used for 7 years.</w:t>
      </w:r>
      <w:r w:rsidR="008D14A9" w:rsidRPr="00C87945">
        <w:rPr>
          <w:sz w:val="22"/>
          <w:lang w:val="en-GB"/>
        </w:rPr>
        <w:t xml:space="preserve"> As regards future pilot projects,</w:t>
      </w:r>
      <w:r w:rsidR="007F0965" w:rsidRPr="00C87945">
        <w:rPr>
          <w:sz w:val="22"/>
          <w:lang w:val="en-GB"/>
        </w:rPr>
        <w:t xml:space="preserve"> EP proposes projects to the EC and EC figures out to which PA they would fit.</w:t>
      </w:r>
      <w:r w:rsidR="00C97192" w:rsidRPr="00C97192">
        <w:rPr>
          <w:lang w:val="en-US"/>
        </w:rPr>
        <w:t xml:space="preserve"> Eva Nussmüller mentioned also that the TA in 2014-2015 will include also money for smaller </w:t>
      </w:r>
      <w:r w:rsidR="00C97192">
        <w:rPr>
          <w:lang w:val="en-US"/>
        </w:rPr>
        <w:t xml:space="preserve">pilot </w:t>
      </w:r>
      <w:r w:rsidR="00C97192" w:rsidRPr="00C97192">
        <w:rPr>
          <w:lang w:val="en-US"/>
        </w:rPr>
        <w:t>projects.</w:t>
      </w:r>
    </w:p>
    <w:p w:rsidR="008D14A9" w:rsidRPr="00C87945" w:rsidRDefault="00324BFD" w:rsidP="00B00A62">
      <w:pPr>
        <w:pStyle w:val="berschrift1"/>
        <w:rPr>
          <w:rFonts w:ascii="Trebuchet MS" w:hAnsi="Trebuchet MS"/>
          <w:sz w:val="22"/>
        </w:rPr>
      </w:pPr>
      <w:bookmarkStart w:id="8" w:name="_Toc345320107"/>
      <w:r w:rsidRPr="00C87945">
        <w:rPr>
          <w:rFonts w:ascii="Trebuchet MS" w:hAnsi="Trebuchet MS"/>
          <w:sz w:val="22"/>
        </w:rPr>
        <w:t>Overview of Major Developments since SG 3</w:t>
      </w:r>
      <w:r w:rsidRPr="00C87945">
        <w:rPr>
          <w:rFonts w:ascii="Trebuchet MS" w:hAnsi="Trebuchet MS"/>
          <w:b/>
          <w:sz w:val="22"/>
        </w:rPr>
        <w:t xml:space="preserve"> - </w:t>
      </w:r>
      <w:r w:rsidR="008D14A9" w:rsidRPr="00C87945">
        <w:rPr>
          <w:rFonts w:ascii="Trebuchet MS" w:hAnsi="Trebuchet MS"/>
          <w:sz w:val="22"/>
        </w:rPr>
        <w:t>Current Update of the Working Groups</w:t>
      </w:r>
      <w:bookmarkEnd w:id="8"/>
    </w:p>
    <w:p w:rsidR="008D14A9" w:rsidRDefault="008D14A9" w:rsidP="00B00A62">
      <w:pPr>
        <w:tabs>
          <w:tab w:val="left" w:pos="1843"/>
        </w:tabs>
        <w:jc w:val="both"/>
        <w:rPr>
          <w:bCs/>
          <w:sz w:val="22"/>
          <w:lang w:val="en-GB"/>
        </w:rPr>
      </w:pPr>
      <w:r w:rsidRPr="00C87945">
        <w:rPr>
          <w:smallCaps/>
          <w:sz w:val="22"/>
          <w:lang w:val="en-GB"/>
        </w:rPr>
        <w:t xml:space="preserve">Bergmann (AT) </w:t>
      </w:r>
      <w:r w:rsidRPr="00C87945">
        <w:rPr>
          <w:sz w:val="22"/>
          <w:lang w:val="en-GB"/>
        </w:rPr>
        <w:t>reports on the meeting</w:t>
      </w:r>
      <w:r w:rsidR="000D66B2" w:rsidRPr="00C87945">
        <w:rPr>
          <w:sz w:val="22"/>
          <w:lang w:val="en-GB"/>
        </w:rPr>
        <w:t xml:space="preserve"> held in </w:t>
      </w:r>
      <w:r w:rsidR="00636510">
        <w:rPr>
          <w:sz w:val="22"/>
          <w:lang w:val="en-GB"/>
        </w:rPr>
        <w:t>November</w:t>
      </w:r>
      <w:r w:rsidR="00636510" w:rsidRPr="00C87945">
        <w:rPr>
          <w:sz w:val="22"/>
          <w:lang w:val="en-GB"/>
        </w:rPr>
        <w:t xml:space="preserve"> </w:t>
      </w:r>
      <w:r w:rsidR="009B3796" w:rsidRPr="00C87945">
        <w:rPr>
          <w:sz w:val="22"/>
          <w:lang w:val="en-GB"/>
        </w:rPr>
        <w:t>in Budapest</w:t>
      </w:r>
      <w:r w:rsidRPr="00C87945">
        <w:rPr>
          <w:sz w:val="22"/>
          <w:lang w:val="en-GB"/>
        </w:rPr>
        <w:t xml:space="preserve"> </w:t>
      </w:r>
      <w:r w:rsidR="00604D62" w:rsidRPr="00C87945">
        <w:rPr>
          <w:sz w:val="22"/>
          <w:lang w:val="en-GB"/>
        </w:rPr>
        <w:t>of the Work Area</w:t>
      </w:r>
      <w:r w:rsidR="000D66B2" w:rsidRPr="00C87945">
        <w:rPr>
          <w:sz w:val="22"/>
          <w:lang w:val="en-GB"/>
        </w:rPr>
        <w:t xml:space="preserve"> 7</w:t>
      </w:r>
      <w:r w:rsidR="00604D62" w:rsidRPr="00C87945">
        <w:rPr>
          <w:sz w:val="22"/>
          <w:lang w:val="en-GB"/>
        </w:rPr>
        <w:t xml:space="preserve"> </w:t>
      </w:r>
      <w:r w:rsidR="00604D62" w:rsidRPr="00C87945">
        <w:rPr>
          <w:bCs/>
          <w:sz w:val="22"/>
          <w:lang w:val="en-GB"/>
        </w:rPr>
        <w:t>“</w:t>
      </w:r>
      <w:r w:rsidR="00604D62" w:rsidRPr="00C87945">
        <w:rPr>
          <w:bCs/>
          <w:i/>
          <w:sz w:val="22"/>
          <w:lang w:val="en-GB"/>
        </w:rPr>
        <w:t>To fight poverty and social exclusion of marginalised communities in the Danube Region, especially the Roma communities</w:t>
      </w:r>
      <w:r w:rsidR="000D66B2" w:rsidRPr="00C87945">
        <w:rPr>
          <w:bCs/>
          <w:sz w:val="22"/>
          <w:lang w:val="en-GB"/>
        </w:rPr>
        <w:t>.</w:t>
      </w:r>
      <w:r w:rsidR="00604D62" w:rsidRPr="00C87945">
        <w:rPr>
          <w:bCs/>
          <w:sz w:val="22"/>
          <w:lang w:val="en-GB"/>
        </w:rPr>
        <w:t xml:space="preserve">” </w:t>
      </w:r>
      <w:r w:rsidR="009B3796" w:rsidRPr="00C87945">
        <w:rPr>
          <w:bCs/>
          <w:sz w:val="22"/>
          <w:lang w:val="en-GB"/>
        </w:rPr>
        <w:t xml:space="preserve">Working Group decided </w:t>
      </w:r>
      <w:r w:rsidR="00075AB4" w:rsidRPr="00C87945">
        <w:rPr>
          <w:bCs/>
          <w:sz w:val="22"/>
          <w:lang w:val="en-GB"/>
        </w:rPr>
        <w:t>to apply for a transnational project within an Austrian ESF call. SG agrees to forward institutions that might be interested in participating in this project</w:t>
      </w:r>
      <w:r w:rsidR="000D66B2" w:rsidRPr="00C87945">
        <w:rPr>
          <w:bCs/>
          <w:sz w:val="22"/>
          <w:lang w:val="en-GB"/>
        </w:rPr>
        <w:t>.</w:t>
      </w:r>
    </w:p>
    <w:p w:rsidR="00F426FC" w:rsidRPr="00C87945" w:rsidRDefault="00F426FC" w:rsidP="00B00A62">
      <w:pPr>
        <w:tabs>
          <w:tab w:val="left" w:pos="1843"/>
        </w:tabs>
        <w:jc w:val="both"/>
        <w:rPr>
          <w:bCs/>
          <w:sz w:val="22"/>
          <w:lang w:val="en-GB"/>
        </w:rPr>
      </w:pPr>
      <w:r w:rsidRPr="00C87945">
        <w:rPr>
          <w:smallCaps/>
          <w:sz w:val="22"/>
          <w:lang w:val="en-GB"/>
        </w:rPr>
        <w:t>Bergmann</w:t>
      </w:r>
      <w:r w:rsidR="002C30DD" w:rsidRPr="002C30DD">
        <w:rPr>
          <w:bCs/>
          <w:sz w:val="22"/>
          <w:lang w:val="en-GB"/>
        </w:rPr>
        <w:t xml:space="preserve"> </w:t>
      </w:r>
      <w:r>
        <w:rPr>
          <w:bCs/>
          <w:sz w:val="22"/>
          <w:lang w:val="en-GB"/>
        </w:rPr>
        <w:t>announces meeting organized by herself for Work Area 8 “</w:t>
      </w:r>
      <w:r w:rsidR="002C30DD" w:rsidRPr="002C30DD">
        <w:rPr>
          <w:bCs/>
          <w:i/>
          <w:sz w:val="22"/>
          <w:lang w:val="en-GB"/>
        </w:rPr>
        <w:t>To promote gender equality on the labour market, especially in payment</w:t>
      </w:r>
      <w:r>
        <w:rPr>
          <w:bCs/>
          <w:sz w:val="22"/>
          <w:lang w:val="en-GB"/>
        </w:rPr>
        <w:t>” in spring 2013, probabely taking place in Bratislava.</w:t>
      </w:r>
      <w:r w:rsidR="002C30DD" w:rsidRPr="002C30DD">
        <w:rPr>
          <w:bCs/>
          <w:sz w:val="22"/>
          <w:lang w:val="en-GB"/>
        </w:rPr>
        <w:t xml:space="preserve"> </w:t>
      </w:r>
    </w:p>
    <w:p w:rsidR="000D66B2" w:rsidRPr="00C87945" w:rsidRDefault="000D66B2" w:rsidP="00B00A62">
      <w:pPr>
        <w:tabs>
          <w:tab w:val="left" w:pos="1843"/>
        </w:tabs>
        <w:jc w:val="both"/>
        <w:rPr>
          <w:bCs/>
          <w:sz w:val="22"/>
          <w:lang w:val="en-GB"/>
        </w:rPr>
      </w:pPr>
      <w:r w:rsidRPr="00C87945">
        <w:rPr>
          <w:smallCaps/>
          <w:sz w:val="22"/>
          <w:lang w:val="en-GB"/>
        </w:rPr>
        <w:t>Leitner</w:t>
      </w:r>
      <w:r w:rsidRPr="00C87945">
        <w:rPr>
          <w:bCs/>
          <w:sz w:val="22"/>
          <w:lang w:val="en-GB"/>
        </w:rPr>
        <w:t xml:space="preserve"> (AT) refers on meeting held in November in Belgrade of the Work Area 6 “</w:t>
      </w:r>
      <w:r w:rsidRPr="00C87945">
        <w:rPr>
          <w:bCs/>
          <w:i/>
          <w:sz w:val="22"/>
          <w:lang w:val="en-GB"/>
        </w:rPr>
        <w:t>To improve cross-sector policy coordination to address demographic and migration challenges</w:t>
      </w:r>
      <w:r w:rsidRPr="00C87945">
        <w:rPr>
          <w:bCs/>
          <w:sz w:val="22"/>
          <w:lang w:val="en-GB"/>
        </w:rPr>
        <w:t>.” This Working Group decided to create a platform and to organize two meetings per year. Several project ideas were discussed.</w:t>
      </w:r>
    </w:p>
    <w:p w:rsidR="0084340F" w:rsidRPr="00C87945" w:rsidRDefault="000D66B2" w:rsidP="00B00A62">
      <w:pPr>
        <w:tabs>
          <w:tab w:val="left" w:pos="1843"/>
        </w:tabs>
        <w:jc w:val="both"/>
        <w:rPr>
          <w:bCs/>
          <w:sz w:val="22"/>
          <w:lang w:val="en-GB"/>
        </w:rPr>
      </w:pPr>
      <w:r w:rsidRPr="00C87945">
        <w:rPr>
          <w:smallCaps/>
          <w:sz w:val="22"/>
          <w:lang w:val="en-GB"/>
        </w:rPr>
        <w:t xml:space="preserve">Ivanković Knežević </w:t>
      </w:r>
      <w:r w:rsidRPr="00C87945">
        <w:rPr>
          <w:sz w:val="22"/>
          <w:lang w:val="en-GB"/>
        </w:rPr>
        <w:t xml:space="preserve">(HR) announces </w:t>
      </w:r>
      <w:r w:rsidR="00F452EA" w:rsidRPr="00C87945">
        <w:rPr>
          <w:sz w:val="22"/>
          <w:lang w:val="en-GB"/>
        </w:rPr>
        <w:t>meeting organized by HR for Work Area 2 “</w:t>
      </w:r>
      <w:r w:rsidR="00F452EA" w:rsidRPr="00C87945">
        <w:rPr>
          <w:bCs/>
          <w:i/>
          <w:sz w:val="22"/>
          <w:lang w:val="en-GB"/>
        </w:rPr>
        <w:t>To foster cooperation between key stakeholders of labour market, education and research policies in order to develop learning regions and environments</w:t>
      </w:r>
      <w:r w:rsidR="00F452EA" w:rsidRPr="00C87945">
        <w:rPr>
          <w:bCs/>
          <w:sz w:val="22"/>
          <w:lang w:val="en-GB"/>
        </w:rPr>
        <w:t>”</w:t>
      </w:r>
      <w:r w:rsidR="002203DC" w:rsidRPr="00C87945">
        <w:rPr>
          <w:bCs/>
          <w:sz w:val="22"/>
          <w:lang w:val="en-GB"/>
        </w:rPr>
        <w:t xml:space="preserve"> in Mar</w:t>
      </w:r>
      <w:r w:rsidR="00F452EA" w:rsidRPr="00C87945">
        <w:rPr>
          <w:bCs/>
          <w:sz w:val="22"/>
          <w:lang w:val="en-GB"/>
        </w:rPr>
        <w:t xml:space="preserve">ch or April 2013. The meeting will take place in the East of HR and it is intended </w:t>
      </w:r>
      <w:r w:rsidR="002203DC" w:rsidRPr="00C87945">
        <w:rPr>
          <w:bCs/>
          <w:sz w:val="22"/>
          <w:lang w:val="en-GB"/>
        </w:rPr>
        <w:t>to show good practices.</w:t>
      </w:r>
    </w:p>
    <w:p w:rsidR="004D4954" w:rsidRPr="008B3495" w:rsidRDefault="002C1CD6" w:rsidP="00B00A62">
      <w:pPr>
        <w:spacing w:line="276" w:lineRule="auto"/>
        <w:jc w:val="both"/>
        <w:rPr>
          <w:rFonts w:asciiTheme="majorHAnsi" w:hAnsiTheme="majorHAnsi"/>
          <w:lang w:val="en-US"/>
        </w:rPr>
      </w:pPr>
      <w:r w:rsidRPr="004D4954">
        <w:rPr>
          <w:smallCaps/>
          <w:sz w:val="22"/>
          <w:lang w:val="en-GB"/>
        </w:rPr>
        <w:t xml:space="preserve">Schick (AT) </w:t>
      </w:r>
      <w:r w:rsidRPr="004D4954">
        <w:rPr>
          <w:sz w:val="22"/>
          <w:lang w:val="en-GB"/>
        </w:rPr>
        <w:t>refers to Non-paper</w:t>
      </w:r>
      <w:r w:rsidR="00FD0F0F">
        <w:rPr>
          <w:sz w:val="22"/>
          <w:lang w:val="en-GB"/>
        </w:rPr>
        <w:t xml:space="preserve"> </w:t>
      </w:r>
      <w:r w:rsidRPr="004D4954">
        <w:rPr>
          <w:sz w:val="22"/>
          <w:lang w:val="en-GB"/>
        </w:rPr>
        <w:t xml:space="preserve">on Working </w:t>
      </w:r>
      <w:r w:rsidR="00F24F23">
        <w:rPr>
          <w:sz w:val="22"/>
          <w:lang w:val="en-GB"/>
        </w:rPr>
        <w:t>Areas</w:t>
      </w:r>
      <w:r w:rsidRPr="004D4954">
        <w:rPr>
          <w:sz w:val="22"/>
          <w:lang w:val="en-GB"/>
        </w:rPr>
        <w:t xml:space="preserve"> linked to education</w:t>
      </w:r>
      <w:r w:rsidR="00073CFB">
        <w:rPr>
          <w:sz w:val="22"/>
          <w:lang w:val="en-GB"/>
        </w:rPr>
        <w:t xml:space="preserve"> (see annex)</w:t>
      </w:r>
      <w:r w:rsidRPr="004D4954">
        <w:rPr>
          <w:sz w:val="22"/>
          <w:lang w:val="en-GB"/>
        </w:rPr>
        <w:t xml:space="preserve">. On 17 and 18 October 2012, a </w:t>
      </w:r>
      <w:r w:rsidR="008B3495">
        <w:rPr>
          <w:sz w:val="22"/>
          <w:lang w:val="en-GB"/>
        </w:rPr>
        <w:t xml:space="preserve">strategy </w:t>
      </w:r>
      <w:r w:rsidRPr="004D4954">
        <w:rPr>
          <w:sz w:val="22"/>
          <w:lang w:val="en-GB"/>
        </w:rPr>
        <w:t xml:space="preserve">meeting with selected </w:t>
      </w:r>
      <w:r w:rsidR="008B3495">
        <w:rPr>
          <w:sz w:val="22"/>
          <w:lang w:val="en-GB"/>
        </w:rPr>
        <w:t>W</w:t>
      </w:r>
      <w:r w:rsidRPr="004D4954">
        <w:rPr>
          <w:sz w:val="22"/>
          <w:lang w:val="en-GB"/>
        </w:rPr>
        <w:t xml:space="preserve">G members and other stakeholders took place </w:t>
      </w:r>
      <w:r w:rsidR="008B3495">
        <w:rPr>
          <w:sz w:val="22"/>
          <w:lang w:val="en-GB"/>
        </w:rPr>
        <w:t xml:space="preserve">in Vienna </w:t>
      </w:r>
      <w:r w:rsidRPr="004D4954">
        <w:rPr>
          <w:sz w:val="22"/>
          <w:lang w:val="en-GB"/>
        </w:rPr>
        <w:t xml:space="preserve">in order to </w:t>
      </w:r>
      <w:r w:rsidR="008B3495">
        <w:rPr>
          <w:sz w:val="22"/>
          <w:lang w:val="en-GB"/>
        </w:rPr>
        <w:t>further develop</w:t>
      </w:r>
      <w:r w:rsidRPr="004D4954">
        <w:rPr>
          <w:sz w:val="22"/>
          <w:lang w:val="en-GB"/>
        </w:rPr>
        <w:t xml:space="preserve"> the implementation and to </w:t>
      </w:r>
      <w:r w:rsidRPr="004D4954">
        <w:rPr>
          <w:sz w:val="22"/>
          <w:lang w:val="en-GB"/>
        </w:rPr>
        <w:lastRenderedPageBreak/>
        <w:t>identify responsibl</w:t>
      </w:r>
      <w:r w:rsidR="001E2E90" w:rsidRPr="004D4954">
        <w:rPr>
          <w:sz w:val="22"/>
          <w:lang w:val="en-GB"/>
        </w:rPr>
        <w:t xml:space="preserve">e persons/institutions for the </w:t>
      </w:r>
      <w:r w:rsidRPr="004D4954">
        <w:rPr>
          <w:sz w:val="22"/>
          <w:lang w:val="en-GB"/>
        </w:rPr>
        <w:t xml:space="preserve">Working </w:t>
      </w:r>
      <w:r w:rsidR="00613C40">
        <w:rPr>
          <w:sz w:val="22"/>
          <w:lang w:val="en-GB"/>
        </w:rPr>
        <w:t>Areas</w:t>
      </w:r>
      <w:r w:rsidR="001E2E90" w:rsidRPr="004D4954">
        <w:rPr>
          <w:sz w:val="22"/>
          <w:lang w:val="en-GB"/>
        </w:rPr>
        <w:t xml:space="preserve"> linked to education</w:t>
      </w:r>
      <w:r w:rsidRPr="004D4954">
        <w:rPr>
          <w:sz w:val="22"/>
          <w:lang w:val="en-GB"/>
        </w:rPr>
        <w:t xml:space="preserve">. </w:t>
      </w:r>
      <w:r w:rsidR="008B7E67">
        <w:rPr>
          <w:sz w:val="22"/>
          <w:lang w:val="en-GB"/>
        </w:rPr>
        <w:t>With regard to the broad thematic scopes of the Actions foreseen in the Action Plan of the EUSDR, various m</w:t>
      </w:r>
      <w:r w:rsidR="008B7E67" w:rsidRPr="008B7E67">
        <w:rPr>
          <w:sz w:val="22"/>
          <w:lang w:val="en-GB"/>
        </w:rPr>
        <w:t xml:space="preserve">odes of work </w:t>
      </w:r>
      <w:r w:rsidR="008B7E67">
        <w:rPr>
          <w:sz w:val="22"/>
          <w:lang w:val="en-GB"/>
        </w:rPr>
        <w:t>should be taken into account</w:t>
      </w:r>
      <w:r w:rsidR="008B7E67" w:rsidRPr="008B7E67">
        <w:rPr>
          <w:sz w:val="22"/>
          <w:lang w:val="en-GB"/>
        </w:rPr>
        <w:t xml:space="preserve">. </w:t>
      </w:r>
      <w:r w:rsidR="008B7E67">
        <w:rPr>
          <w:sz w:val="22"/>
          <w:lang w:val="en-GB"/>
        </w:rPr>
        <w:t xml:space="preserve">In this respect, several Working Groups are </w:t>
      </w:r>
      <w:r w:rsidR="00577C2A">
        <w:rPr>
          <w:sz w:val="22"/>
          <w:lang w:val="en-GB"/>
        </w:rPr>
        <w:t>going</w:t>
      </w:r>
      <w:r w:rsidR="008B7E67">
        <w:rPr>
          <w:sz w:val="22"/>
          <w:lang w:val="en-GB"/>
        </w:rPr>
        <w:t xml:space="preserve"> to implement the Work Areas. </w:t>
      </w:r>
      <w:r w:rsidR="008B3495">
        <w:rPr>
          <w:sz w:val="22"/>
          <w:lang w:val="en-GB"/>
        </w:rPr>
        <w:t>Currently</w:t>
      </w:r>
      <w:r w:rsidR="008B7E67">
        <w:rPr>
          <w:sz w:val="22"/>
          <w:lang w:val="en-GB"/>
        </w:rPr>
        <w:t>, w</w:t>
      </w:r>
      <w:r w:rsidR="002921AC" w:rsidRPr="004D4954">
        <w:rPr>
          <w:sz w:val="22"/>
          <w:lang w:val="en-GB"/>
        </w:rPr>
        <w:t xml:space="preserve">ithin </w:t>
      </w:r>
      <w:r w:rsidRPr="004D4954">
        <w:rPr>
          <w:sz w:val="22"/>
          <w:lang w:val="en-GB"/>
        </w:rPr>
        <w:t xml:space="preserve">Work Area 4 </w:t>
      </w:r>
      <w:r w:rsidR="00FF10D3" w:rsidRPr="004D4954">
        <w:rPr>
          <w:sz w:val="22"/>
          <w:lang w:val="en-GB"/>
        </w:rPr>
        <w:t>“</w:t>
      </w:r>
      <w:r w:rsidR="00FF10D3" w:rsidRPr="004D4954">
        <w:rPr>
          <w:bCs/>
          <w:i/>
          <w:sz w:val="22"/>
          <w:lang w:val="en-GB"/>
        </w:rPr>
        <w:t>To support lifelong learning and expanding learning mobility</w:t>
      </w:r>
      <w:r w:rsidR="00FF10D3" w:rsidRPr="004D4954">
        <w:rPr>
          <w:sz w:val="22"/>
          <w:lang w:val="en-GB"/>
        </w:rPr>
        <w:t>”</w:t>
      </w:r>
      <w:r w:rsidR="008B7E67">
        <w:rPr>
          <w:sz w:val="22"/>
          <w:lang w:val="en-GB"/>
        </w:rPr>
        <w:t>,</w:t>
      </w:r>
      <w:r w:rsidR="002921AC" w:rsidRPr="004D4954">
        <w:rPr>
          <w:sz w:val="22"/>
          <w:lang w:val="en-GB"/>
        </w:rPr>
        <w:t xml:space="preserve"> the Romanian Centre for TVET intends to steer a cluster on LLL in cooperation with </w:t>
      </w:r>
      <w:r w:rsidR="00EB037F">
        <w:rPr>
          <w:sz w:val="22"/>
          <w:lang w:val="en-GB"/>
        </w:rPr>
        <w:t xml:space="preserve">the Ministry for Education </w:t>
      </w:r>
      <w:r w:rsidR="00BD1A95">
        <w:rPr>
          <w:sz w:val="22"/>
          <w:lang w:val="en-GB"/>
        </w:rPr>
        <w:t>of</w:t>
      </w:r>
      <w:r w:rsidR="00EB037F">
        <w:rPr>
          <w:sz w:val="22"/>
          <w:lang w:val="en-GB"/>
        </w:rPr>
        <w:t xml:space="preserve"> B</w:t>
      </w:r>
      <w:r w:rsidR="002921AC" w:rsidRPr="004D4954">
        <w:rPr>
          <w:sz w:val="22"/>
          <w:lang w:val="en-GB"/>
        </w:rPr>
        <w:t>a</w:t>
      </w:r>
      <w:r w:rsidR="00EB037F">
        <w:rPr>
          <w:sz w:val="22"/>
          <w:lang w:val="en-GB"/>
        </w:rPr>
        <w:t>d</w:t>
      </w:r>
      <w:r w:rsidR="002921AC" w:rsidRPr="004D4954">
        <w:rPr>
          <w:sz w:val="22"/>
          <w:lang w:val="en-GB"/>
        </w:rPr>
        <w:t>en-Württemberg.</w:t>
      </w:r>
      <w:r w:rsidRPr="004D4954">
        <w:rPr>
          <w:sz w:val="22"/>
          <w:lang w:val="en-GB"/>
        </w:rPr>
        <w:t xml:space="preserve"> </w:t>
      </w:r>
      <w:r w:rsidR="00875606">
        <w:rPr>
          <w:sz w:val="22"/>
          <w:lang w:val="en-GB"/>
        </w:rPr>
        <w:t>A</w:t>
      </w:r>
      <w:r w:rsidR="002921AC" w:rsidRPr="004D4954">
        <w:rPr>
          <w:sz w:val="22"/>
          <w:lang w:val="en-GB"/>
        </w:rPr>
        <w:t xml:space="preserve"> Working Group linked to </w:t>
      </w:r>
      <w:r w:rsidRPr="004D4954">
        <w:rPr>
          <w:sz w:val="22"/>
          <w:lang w:val="en-GB"/>
        </w:rPr>
        <w:t>Work Area 3 “</w:t>
      </w:r>
      <w:r w:rsidRPr="004D4954">
        <w:rPr>
          <w:bCs/>
          <w:i/>
          <w:sz w:val="22"/>
          <w:lang w:val="en-GB"/>
        </w:rPr>
        <w:t>To support creativity and entrepreneurship</w:t>
      </w:r>
      <w:r w:rsidRPr="004D4954">
        <w:rPr>
          <w:bCs/>
          <w:sz w:val="22"/>
          <w:lang w:val="en-GB"/>
        </w:rPr>
        <w:t>”</w:t>
      </w:r>
      <w:r w:rsidRPr="004D4954">
        <w:rPr>
          <w:sz w:val="22"/>
          <w:lang w:val="en-GB"/>
        </w:rPr>
        <w:t xml:space="preserve"> </w:t>
      </w:r>
      <w:r w:rsidR="002921AC" w:rsidRPr="004D4954">
        <w:rPr>
          <w:sz w:val="22"/>
          <w:lang w:val="en-GB"/>
        </w:rPr>
        <w:t>will be coordinated by</w:t>
      </w:r>
      <w:r w:rsidRPr="004D4954">
        <w:rPr>
          <w:sz w:val="22"/>
          <w:lang w:val="en-GB"/>
        </w:rPr>
        <w:t xml:space="preserve"> the SME Centre in Ruse (BG) and </w:t>
      </w:r>
      <w:r w:rsidR="002921AC" w:rsidRPr="004D4954">
        <w:rPr>
          <w:sz w:val="22"/>
          <w:lang w:val="en-GB"/>
        </w:rPr>
        <w:t xml:space="preserve">within </w:t>
      </w:r>
      <w:r w:rsidRPr="004D4954">
        <w:rPr>
          <w:sz w:val="22"/>
          <w:lang w:val="en-GB"/>
        </w:rPr>
        <w:t xml:space="preserve">Working </w:t>
      </w:r>
      <w:r w:rsidR="002921AC" w:rsidRPr="004D4954">
        <w:rPr>
          <w:sz w:val="22"/>
          <w:lang w:val="en-GB"/>
        </w:rPr>
        <w:t>Area</w:t>
      </w:r>
      <w:r w:rsidRPr="004D4954">
        <w:rPr>
          <w:sz w:val="22"/>
          <w:lang w:val="en-GB"/>
        </w:rPr>
        <w:t xml:space="preserve"> 5 </w:t>
      </w:r>
      <w:r w:rsidR="00FF10D3" w:rsidRPr="004D4954">
        <w:rPr>
          <w:bCs/>
          <w:sz w:val="22"/>
          <w:lang w:val="en-GB"/>
        </w:rPr>
        <w:t>“</w:t>
      </w:r>
      <w:r w:rsidR="00FF10D3" w:rsidRPr="004D4954">
        <w:rPr>
          <w:bCs/>
          <w:i/>
          <w:sz w:val="22"/>
          <w:lang w:val="en-GB"/>
        </w:rPr>
        <w:t>To promote equity, social cohesion and active citizenship through education and training</w:t>
      </w:r>
      <w:r w:rsidR="00FF10D3" w:rsidRPr="004D4954">
        <w:rPr>
          <w:bCs/>
          <w:sz w:val="22"/>
          <w:lang w:val="en-GB"/>
        </w:rPr>
        <w:t>”</w:t>
      </w:r>
      <w:r w:rsidR="00EE47EB">
        <w:rPr>
          <w:bCs/>
          <w:sz w:val="22"/>
          <w:lang w:val="en-GB"/>
        </w:rPr>
        <w:t>,</w:t>
      </w:r>
      <w:r w:rsidR="00FF10D3" w:rsidRPr="004D4954">
        <w:rPr>
          <w:bCs/>
          <w:sz w:val="22"/>
          <w:lang w:val="en-GB"/>
        </w:rPr>
        <w:t xml:space="preserve"> Interkulturelles Zentrum, the Austrian National Agency for the “Youth</w:t>
      </w:r>
      <w:r w:rsidR="002921AC" w:rsidRPr="004D4954">
        <w:rPr>
          <w:bCs/>
          <w:sz w:val="22"/>
          <w:lang w:val="en-GB"/>
        </w:rPr>
        <w:t xml:space="preserve"> in Action” programme of the EU, considers to be in charge of a </w:t>
      </w:r>
      <w:r w:rsidR="002921AC" w:rsidRPr="004D4954">
        <w:rPr>
          <w:sz w:val="22"/>
          <w:lang w:val="en-GB"/>
        </w:rPr>
        <w:t>Working Group on a Youth Platform in the Danube Region.</w:t>
      </w:r>
      <w:r w:rsidR="00FF10D3" w:rsidRPr="004D4954">
        <w:rPr>
          <w:bCs/>
          <w:sz w:val="22"/>
          <w:lang w:val="en-GB"/>
        </w:rPr>
        <w:t xml:space="preserve"> As regards Working </w:t>
      </w:r>
      <w:r w:rsidR="00F13627" w:rsidRPr="004D4954">
        <w:rPr>
          <w:bCs/>
          <w:sz w:val="22"/>
          <w:lang w:val="en-GB"/>
        </w:rPr>
        <w:t xml:space="preserve">Area </w:t>
      </w:r>
      <w:r w:rsidR="00FF10D3" w:rsidRPr="004D4954">
        <w:rPr>
          <w:bCs/>
          <w:sz w:val="22"/>
          <w:lang w:val="en-GB"/>
        </w:rPr>
        <w:t>1 “</w:t>
      </w:r>
      <w:r w:rsidR="00FF10D3" w:rsidRPr="00480471">
        <w:rPr>
          <w:bCs/>
          <w:i/>
          <w:sz w:val="22"/>
          <w:lang w:val="en-GB"/>
        </w:rPr>
        <w:t>To enhance performance of education systems through closer cooperation of education institutions, systems and policies</w:t>
      </w:r>
      <w:r w:rsidR="00FF10D3" w:rsidRPr="004D4954">
        <w:rPr>
          <w:bCs/>
          <w:sz w:val="22"/>
          <w:lang w:val="en-GB"/>
        </w:rPr>
        <w:t xml:space="preserve">”, </w:t>
      </w:r>
      <w:r w:rsidR="008B3495">
        <w:rPr>
          <w:bCs/>
          <w:sz w:val="22"/>
          <w:lang w:val="en-GB"/>
        </w:rPr>
        <w:t xml:space="preserve">currently </w:t>
      </w:r>
      <w:r w:rsidR="004D4954">
        <w:rPr>
          <w:bCs/>
          <w:sz w:val="22"/>
          <w:lang w:val="en-GB"/>
        </w:rPr>
        <w:t>separate</w:t>
      </w:r>
      <w:r w:rsidR="00F13627" w:rsidRPr="004D4954">
        <w:rPr>
          <w:bCs/>
          <w:sz w:val="22"/>
          <w:lang w:val="en-GB"/>
        </w:rPr>
        <w:t xml:space="preserve"> events</w:t>
      </w:r>
      <w:r w:rsidR="008B3495">
        <w:rPr>
          <w:bCs/>
          <w:sz w:val="22"/>
          <w:lang w:val="en-GB"/>
        </w:rPr>
        <w:t>,</w:t>
      </w:r>
      <w:r w:rsidR="004D4954" w:rsidRPr="004D4954">
        <w:rPr>
          <w:rFonts w:asciiTheme="majorHAnsi" w:hAnsiTheme="majorHAnsi"/>
          <w:lang w:val="en-GB"/>
        </w:rPr>
        <w:t xml:space="preserve"> </w:t>
      </w:r>
      <w:r w:rsidR="004D4954" w:rsidRPr="004D4954">
        <w:rPr>
          <w:bCs/>
          <w:sz w:val="22"/>
          <w:lang w:val="en-GB"/>
        </w:rPr>
        <w:t>ad hoc meetings, project-development meetings or project fair events</w:t>
      </w:r>
      <w:r w:rsidR="004D4954">
        <w:rPr>
          <w:bCs/>
          <w:sz w:val="22"/>
          <w:lang w:val="en-GB"/>
        </w:rPr>
        <w:t xml:space="preserve"> will contribute to its implementation.</w:t>
      </w:r>
      <w:r w:rsidR="008B3495">
        <w:rPr>
          <w:bCs/>
          <w:sz w:val="22"/>
          <w:lang w:val="en-GB"/>
        </w:rPr>
        <w:t xml:space="preserve"> </w:t>
      </w:r>
      <w:r w:rsidR="005764D0">
        <w:rPr>
          <w:bCs/>
          <w:sz w:val="22"/>
          <w:lang w:val="en-GB"/>
        </w:rPr>
        <w:t>In addition to this, networking events across Work Area</w:t>
      </w:r>
      <w:r w:rsidR="006C06D8">
        <w:rPr>
          <w:bCs/>
          <w:sz w:val="22"/>
          <w:lang w:val="en-GB"/>
        </w:rPr>
        <w:t>s</w:t>
      </w:r>
      <w:r w:rsidR="005764D0">
        <w:rPr>
          <w:bCs/>
          <w:sz w:val="22"/>
          <w:lang w:val="en-GB"/>
        </w:rPr>
        <w:t xml:space="preserve"> should be considered, as s</w:t>
      </w:r>
      <w:r w:rsidR="005764D0" w:rsidRPr="005764D0">
        <w:rPr>
          <w:bCs/>
          <w:sz w:val="22"/>
          <w:lang w:val="en-GB"/>
        </w:rPr>
        <w:t>ome of the treat</w:t>
      </w:r>
      <w:r w:rsidR="005764D0">
        <w:rPr>
          <w:bCs/>
          <w:sz w:val="22"/>
          <w:lang w:val="en-GB"/>
        </w:rPr>
        <w:t>ed topics or activities of the W</w:t>
      </w:r>
      <w:r w:rsidR="005764D0" w:rsidRPr="005764D0">
        <w:rPr>
          <w:bCs/>
          <w:sz w:val="22"/>
          <w:lang w:val="en-GB"/>
        </w:rPr>
        <w:t xml:space="preserve">ork </w:t>
      </w:r>
      <w:r w:rsidR="005764D0">
        <w:rPr>
          <w:bCs/>
          <w:sz w:val="22"/>
          <w:lang w:val="en-GB"/>
        </w:rPr>
        <w:t xml:space="preserve">Areas </w:t>
      </w:r>
      <w:r w:rsidR="005764D0" w:rsidRPr="005764D0">
        <w:rPr>
          <w:bCs/>
          <w:sz w:val="22"/>
          <w:lang w:val="en-GB"/>
        </w:rPr>
        <w:t>are strongly connected to each other and should not be analysed in an isolated manner</w:t>
      </w:r>
      <w:r w:rsidR="005764D0">
        <w:rPr>
          <w:bCs/>
          <w:sz w:val="22"/>
          <w:lang w:val="en-GB"/>
        </w:rPr>
        <w:t>.</w:t>
      </w:r>
    </w:p>
    <w:p w:rsidR="009047B9" w:rsidRPr="00C87945" w:rsidRDefault="00FA1091" w:rsidP="00B00A62">
      <w:pPr>
        <w:tabs>
          <w:tab w:val="left" w:pos="1843"/>
        </w:tabs>
        <w:jc w:val="both"/>
        <w:rPr>
          <w:sz w:val="22"/>
          <w:lang w:val="en-GB"/>
        </w:rPr>
      </w:pPr>
      <w:r w:rsidRPr="00FA1091">
        <w:rPr>
          <w:sz w:val="22"/>
          <w:lang w:val="en-GB"/>
        </w:rPr>
        <w:t>In rel</w:t>
      </w:r>
      <w:r>
        <w:rPr>
          <w:sz w:val="22"/>
          <w:lang w:val="en-GB"/>
        </w:rPr>
        <w:t>a</w:t>
      </w:r>
      <w:r w:rsidRPr="00FA1091">
        <w:rPr>
          <w:sz w:val="22"/>
          <w:lang w:val="en-GB"/>
        </w:rPr>
        <w:t>tion to this</w:t>
      </w:r>
      <w:r>
        <w:rPr>
          <w:sz w:val="22"/>
          <w:lang w:val="en-GB"/>
        </w:rPr>
        <w:t>,</w:t>
      </w:r>
      <w:r w:rsidRPr="00FA1091">
        <w:rPr>
          <w:sz w:val="22"/>
          <w:lang w:val="en-GB"/>
        </w:rPr>
        <w:t xml:space="preserve"> </w:t>
      </w:r>
      <w:r w:rsidR="009047B9" w:rsidRPr="00C87945">
        <w:rPr>
          <w:smallCaps/>
          <w:sz w:val="22"/>
          <w:lang w:val="en-GB"/>
        </w:rPr>
        <w:t xml:space="preserve">Schick (AT) </w:t>
      </w:r>
      <w:r w:rsidR="009047B9" w:rsidRPr="00C87945">
        <w:rPr>
          <w:sz w:val="22"/>
          <w:lang w:val="en-GB"/>
        </w:rPr>
        <w:t xml:space="preserve">announces Peer Learning event on VET </w:t>
      </w:r>
      <w:r w:rsidR="00BF1A88" w:rsidRPr="00C87945">
        <w:rPr>
          <w:sz w:val="22"/>
          <w:lang w:val="en-GB"/>
        </w:rPr>
        <w:t xml:space="preserve">which </w:t>
      </w:r>
      <w:r w:rsidR="00DC5C20">
        <w:rPr>
          <w:sz w:val="22"/>
          <w:lang w:val="en-GB"/>
        </w:rPr>
        <w:t xml:space="preserve">will </w:t>
      </w:r>
      <w:r w:rsidR="00BF1A88" w:rsidRPr="00C87945">
        <w:rPr>
          <w:sz w:val="22"/>
          <w:lang w:val="en-GB"/>
        </w:rPr>
        <w:t>take place on 5 and 6 December 2012 in Vienna, upon invitation of the EU coordination of the Austrian Federal Ministry for Education, the Arts and Cul</w:t>
      </w:r>
      <w:r w:rsidR="00940685">
        <w:rPr>
          <w:sz w:val="22"/>
          <w:lang w:val="en-GB"/>
        </w:rPr>
        <w:t>ture to the Education Committee and in cooperation with the European Commission</w:t>
      </w:r>
      <w:r w:rsidR="002A2744">
        <w:rPr>
          <w:sz w:val="22"/>
          <w:lang w:val="en-GB"/>
        </w:rPr>
        <w:t xml:space="preserve"> and PA9 of the EUSDR</w:t>
      </w:r>
      <w:r w:rsidR="00940685">
        <w:rPr>
          <w:sz w:val="22"/>
          <w:lang w:val="en-GB"/>
        </w:rPr>
        <w:t>.</w:t>
      </w:r>
      <w:r w:rsidR="00BF1A88" w:rsidRPr="00C87945">
        <w:rPr>
          <w:sz w:val="22"/>
          <w:lang w:val="en-GB"/>
        </w:rPr>
        <w:t xml:space="preserve"> Eight countries from </w:t>
      </w:r>
      <w:r w:rsidR="001677E6" w:rsidRPr="00C87945">
        <w:rPr>
          <w:sz w:val="22"/>
          <w:lang w:val="en-GB"/>
        </w:rPr>
        <w:t>the</w:t>
      </w:r>
      <w:r w:rsidR="00BF1A88" w:rsidRPr="00C87945">
        <w:rPr>
          <w:sz w:val="22"/>
          <w:lang w:val="en-GB"/>
        </w:rPr>
        <w:t xml:space="preserve"> DR will participate, of which </w:t>
      </w:r>
      <w:r w:rsidR="00862243" w:rsidRPr="00C87945">
        <w:rPr>
          <w:sz w:val="22"/>
          <w:lang w:val="en-GB"/>
        </w:rPr>
        <w:t xml:space="preserve">three </w:t>
      </w:r>
      <w:r w:rsidR="00BF1A88" w:rsidRPr="00C87945">
        <w:rPr>
          <w:sz w:val="22"/>
          <w:lang w:val="en-GB"/>
        </w:rPr>
        <w:t>are t</w:t>
      </w:r>
      <w:r w:rsidR="00940685">
        <w:rPr>
          <w:sz w:val="22"/>
          <w:lang w:val="en-GB"/>
        </w:rPr>
        <w:t xml:space="preserve">hird states. </w:t>
      </w:r>
    </w:p>
    <w:p w:rsidR="00862243" w:rsidRPr="00C87945" w:rsidRDefault="00862243" w:rsidP="00B00A62">
      <w:pPr>
        <w:tabs>
          <w:tab w:val="left" w:pos="1843"/>
        </w:tabs>
        <w:jc w:val="both"/>
        <w:rPr>
          <w:color w:val="262727"/>
          <w:sz w:val="22"/>
          <w:lang w:val="en-GB"/>
        </w:rPr>
      </w:pPr>
      <w:r w:rsidRPr="00C87945">
        <w:rPr>
          <w:smallCaps/>
          <w:sz w:val="22"/>
          <w:lang w:val="en-GB"/>
        </w:rPr>
        <w:t>Kasparyan</w:t>
      </w:r>
      <w:r w:rsidRPr="00C87945">
        <w:rPr>
          <w:color w:val="262727"/>
          <w:sz w:val="22"/>
          <w:lang w:val="en-GB"/>
        </w:rPr>
        <w:t xml:space="preserve"> (BG) announces meeting of WG3 in spring 2013. Synergies will be sought with PA8.</w:t>
      </w:r>
    </w:p>
    <w:p w:rsidR="00862243" w:rsidRPr="00C87945" w:rsidRDefault="00862243" w:rsidP="00B00A62">
      <w:pPr>
        <w:tabs>
          <w:tab w:val="left" w:pos="1843"/>
        </w:tabs>
        <w:jc w:val="both"/>
        <w:rPr>
          <w:sz w:val="22"/>
          <w:lang w:val="en-GB"/>
        </w:rPr>
      </w:pPr>
      <w:r w:rsidRPr="00C87945">
        <w:rPr>
          <w:smallCaps/>
          <w:sz w:val="22"/>
          <w:lang w:val="en-GB"/>
        </w:rPr>
        <w:t xml:space="preserve">Nussmüller </w:t>
      </w:r>
      <w:r w:rsidRPr="00C87945">
        <w:rPr>
          <w:sz w:val="22"/>
          <w:lang w:val="en-GB"/>
        </w:rPr>
        <w:t>(EK) propos</w:t>
      </w:r>
      <w:r w:rsidR="001E2CBF" w:rsidRPr="00C87945">
        <w:rPr>
          <w:sz w:val="22"/>
          <w:lang w:val="en-GB"/>
        </w:rPr>
        <w:t xml:space="preserve">es to </w:t>
      </w:r>
      <w:r w:rsidR="005764D0" w:rsidRPr="005764D0">
        <w:rPr>
          <w:sz w:val="22"/>
          <w:lang w:val="en-GB"/>
        </w:rPr>
        <w:t xml:space="preserve">foster mutual exchange of </w:t>
      </w:r>
      <w:r w:rsidR="001E2CBF" w:rsidRPr="005764D0">
        <w:rPr>
          <w:sz w:val="22"/>
          <w:lang w:val="en-GB"/>
        </w:rPr>
        <w:t>Working Groups</w:t>
      </w:r>
      <w:r w:rsidR="001E2CBF" w:rsidRPr="00C87945">
        <w:rPr>
          <w:sz w:val="22"/>
          <w:lang w:val="en-GB"/>
        </w:rPr>
        <w:t xml:space="preserve"> with thematic overlaps with PA8.</w:t>
      </w:r>
    </w:p>
    <w:p w:rsidR="001E2CBF" w:rsidRPr="00C87945" w:rsidRDefault="001E2CBF" w:rsidP="00B00A62">
      <w:pPr>
        <w:tabs>
          <w:tab w:val="left" w:pos="1843"/>
        </w:tabs>
        <w:jc w:val="both"/>
        <w:rPr>
          <w:sz w:val="22"/>
          <w:lang w:val="en-GB"/>
        </w:rPr>
      </w:pPr>
      <w:r w:rsidRPr="00C87945">
        <w:rPr>
          <w:smallCaps/>
          <w:sz w:val="22"/>
          <w:lang w:val="en-GB"/>
        </w:rPr>
        <w:t xml:space="preserve">Damyanovic (ETF) </w:t>
      </w:r>
      <w:r w:rsidR="00A11EA9">
        <w:rPr>
          <w:sz w:val="22"/>
          <w:lang w:val="en-GB"/>
        </w:rPr>
        <w:t xml:space="preserve">agrees </w:t>
      </w:r>
      <w:r w:rsidRPr="00C87945">
        <w:rPr>
          <w:sz w:val="22"/>
          <w:lang w:val="en-GB"/>
        </w:rPr>
        <w:t>that it would be useful to create an interface with PA8, especially with regard to SEECEL</w:t>
      </w:r>
      <w:r w:rsidR="00915E69" w:rsidRPr="00C87945">
        <w:rPr>
          <w:sz w:val="22"/>
          <w:lang w:val="en-GB"/>
        </w:rPr>
        <w:t xml:space="preserve">, which </w:t>
      </w:r>
      <w:r w:rsidR="00434AEC">
        <w:rPr>
          <w:sz w:val="22"/>
          <w:lang w:val="en-GB"/>
        </w:rPr>
        <w:t xml:space="preserve">has </w:t>
      </w:r>
      <w:r w:rsidR="00915E69" w:rsidRPr="00C87945">
        <w:rPr>
          <w:sz w:val="22"/>
          <w:lang w:val="en-GB"/>
        </w:rPr>
        <w:t>accomplished a major work. Databases cannot be the output of the Working Groups.</w:t>
      </w:r>
    </w:p>
    <w:p w:rsidR="00915E69" w:rsidRPr="00C87945" w:rsidRDefault="00915E69" w:rsidP="00B00A62">
      <w:pPr>
        <w:tabs>
          <w:tab w:val="left" w:pos="1843"/>
        </w:tabs>
        <w:jc w:val="both"/>
        <w:rPr>
          <w:color w:val="262727"/>
          <w:sz w:val="22"/>
          <w:lang w:val="en-GB"/>
        </w:rPr>
      </w:pPr>
      <w:r w:rsidRPr="00C87945">
        <w:rPr>
          <w:smallCaps/>
          <w:sz w:val="22"/>
          <w:lang w:val="en-GB"/>
        </w:rPr>
        <w:t>Kasparyan</w:t>
      </w:r>
      <w:r w:rsidRPr="00C87945">
        <w:rPr>
          <w:color w:val="262727"/>
          <w:sz w:val="22"/>
          <w:lang w:val="en-GB"/>
        </w:rPr>
        <w:t xml:space="preserve"> (BG) draws the attention on the fact that existing projects should be considered, but agrees with Ms Damyanovic that databases cannot be the outcome. It matters to bring the topic of creativity closer to the businesses. </w:t>
      </w:r>
    </w:p>
    <w:p w:rsidR="00915E69" w:rsidRPr="00C87945" w:rsidRDefault="00915E69" w:rsidP="00B00A62">
      <w:pPr>
        <w:tabs>
          <w:tab w:val="left" w:pos="1843"/>
        </w:tabs>
        <w:jc w:val="both"/>
        <w:rPr>
          <w:color w:val="262727"/>
          <w:sz w:val="22"/>
          <w:lang w:val="en-GB"/>
        </w:rPr>
      </w:pPr>
      <w:r w:rsidRPr="00C87945">
        <w:rPr>
          <w:smallCaps/>
          <w:sz w:val="22"/>
          <w:lang w:val="en-GB"/>
        </w:rPr>
        <w:t>Ackermann</w:t>
      </w:r>
      <w:r w:rsidRPr="00C87945">
        <w:rPr>
          <w:color w:val="262727"/>
          <w:sz w:val="22"/>
          <w:lang w:val="en-GB"/>
        </w:rPr>
        <w:t xml:space="preserve"> (DE) brings forward the idea for a Lifelong Learning cluster</w:t>
      </w:r>
      <w:r w:rsidR="002847C8" w:rsidRPr="00C87945">
        <w:rPr>
          <w:color w:val="262727"/>
          <w:sz w:val="22"/>
          <w:lang w:val="en-GB"/>
        </w:rPr>
        <w:t xml:space="preserve"> related to WG4</w:t>
      </w:r>
      <w:r w:rsidRPr="00C87945">
        <w:rPr>
          <w:color w:val="262727"/>
          <w:sz w:val="22"/>
          <w:lang w:val="en-GB"/>
        </w:rPr>
        <w:t>. In the reflection paper for the 1</w:t>
      </w:r>
      <w:r w:rsidRPr="00C87945">
        <w:rPr>
          <w:color w:val="262727"/>
          <w:sz w:val="22"/>
          <w:vertAlign w:val="superscript"/>
          <w:lang w:val="en-GB"/>
        </w:rPr>
        <w:t>st</w:t>
      </w:r>
      <w:r w:rsidRPr="00C87945">
        <w:rPr>
          <w:color w:val="262727"/>
          <w:sz w:val="22"/>
          <w:lang w:val="en-GB"/>
        </w:rPr>
        <w:t xml:space="preserve"> Annual Forum of the EUSDR, not a single word about education could be found. It would be good to establish a network in the field of lifelong learning and combine it with other networks, e.g. PA8 and PA7. In this respect, a feedback in the upcoming weeks is requested. </w:t>
      </w:r>
      <w:r w:rsidR="002847C8" w:rsidRPr="00C87945">
        <w:rPr>
          <w:color w:val="262727"/>
          <w:sz w:val="22"/>
          <w:lang w:val="en-GB"/>
        </w:rPr>
        <w:t>The Ministry for Education of Baden-Württemberg could provide interesting partners. The first meeting of WG4 could probably take place in Ulm. WG4 would cover a wide range of topics.</w:t>
      </w:r>
    </w:p>
    <w:p w:rsidR="00811FB9" w:rsidRDefault="00811FB9" w:rsidP="00B00A62">
      <w:pPr>
        <w:tabs>
          <w:tab w:val="left" w:pos="1843"/>
        </w:tabs>
        <w:jc w:val="both"/>
        <w:rPr>
          <w:sz w:val="22"/>
          <w:lang w:val="en-GB"/>
        </w:rPr>
      </w:pPr>
      <w:r w:rsidRPr="00C87945">
        <w:rPr>
          <w:smallCaps/>
          <w:sz w:val="22"/>
          <w:lang w:val="en-GB"/>
        </w:rPr>
        <w:lastRenderedPageBreak/>
        <w:t>Schick (AT)</w:t>
      </w:r>
      <w:r>
        <w:rPr>
          <w:smallCaps/>
          <w:sz w:val="22"/>
          <w:lang w:val="en-GB"/>
        </w:rPr>
        <w:t xml:space="preserve"> </w:t>
      </w:r>
      <w:r w:rsidR="002847C8" w:rsidRPr="00C87945">
        <w:rPr>
          <w:sz w:val="22"/>
          <w:lang w:val="en-GB"/>
        </w:rPr>
        <w:t xml:space="preserve">states that </w:t>
      </w:r>
      <w:r w:rsidR="00A11EA9">
        <w:rPr>
          <w:sz w:val="22"/>
          <w:lang w:val="en-GB"/>
        </w:rPr>
        <w:t xml:space="preserve">coordination with other </w:t>
      </w:r>
      <w:r w:rsidR="006F6CB1">
        <w:rPr>
          <w:sz w:val="22"/>
          <w:lang w:val="en-GB"/>
        </w:rPr>
        <w:t>PAs</w:t>
      </w:r>
      <w:r w:rsidR="00A11EA9">
        <w:rPr>
          <w:sz w:val="22"/>
          <w:lang w:val="en-GB"/>
        </w:rPr>
        <w:t xml:space="preserve"> will be pursued where useful and</w:t>
      </w:r>
      <w:r w:rsidR="006F6CB1">
        <w:rPr>
          <w:sz w:val="22"/>
          <w:lang w:val="en-GB"/>
        </w:rPr>
        <w:t xml:space="preserve"> </w:t>
      </w:r>
      <w:r w:rsidR="00A11EA9">
        <w:rPr>
          <w:sz w:val="22"/>
          <w:lang w:val="en-GB"/>
        </w:rPr>
        <w:t xml:space="preserve">feasible and adds that due to the complexity of the issues concerned, </w:t>
      </w:r>
      <w:r>
        <w:rPr>
          <w:sz w:val="22"/>
          <w:lang w:val="en-GB"/>
        </w:rPr>
        <w:t>there is a need for diverse approaches and different institutions to work on one and the same topic.</w:t>
      </w:r>
    </w:p>
    <w:p w:rsidR="002847C8" w:rsidRPr="00C87945" w:rsidRDefault="00811FB9" w:rsidP="00B00A62">
      <w:pPr>
        <w:tabs>
          <w:tab w:val="left" w:pos="1843"/>
        </w:tabs>
        <w:jc w:val="both"/>
        <w:rPr>
          <w:sz w:val="22"/>
          <w:lang w:val="en-GB"/>
        </w:rPr>
      </w:pPr>
      <w:r w:rsidRPr="00C87945">
        <w:rPr>
          <w:smallCaps/>
          <w:sz w:val="22"/>
          <w:lang w:val="en-GB"/>
        </w:rPr>
        <w:t>Schick (AT)</w:t>
      </w:r>
      <w:r w:rsidR="00A11EA9">
        <w:rPr>
          <w:sz w:val="22"/>
          <w:lang w:val="en-GB"/>
        </w:rPr>
        <w:t xml:space="preserve"> </w:t>
      </w:r>
      <w:r w:rsidR="00AF3507" w:rsidRPr="00C87945">
        <w:rPr>
          <w:sz w:val="22"/>
          <w:lang w:val="en-GB"/>
        </w:rPr>
        <w:t xml:space="preserve">introduces the template for </w:t>
      </w:r>
      <w:r w:rsidR="00A11EA9">
        <w:rPr>
          <w:sz w:val="22"/>
          <w:lang w:val="en-GB"/>
        </w:rPr>
        <w:t xml:space="preserve">terms of references </w:t>
      </w:r>
      <w:r>
        <w:rPr>
          <w:sz w:val="22"/>
          <w:lang w:val="en-GB"/>
        </w:rPr>
        <w:t xml:space="preserve">for the implementation of </w:t>
      </w:r>
      <w:r w:rsidR="00AF3507" w:rsidRPr="00C87945">
        <w:rPr>
          <w:sz w:val="22"/>
          <w:lang w:val="en-GB"/>
        </w:rPr>
        <w:t>Working Groups.</w:t>
      </w:r>
      <w:r w:rsidR="00167782">
        <w:rPr>
          <w:sz w:val="22"/>
          <w:lang w:val="en-GB"/>
        </w:rPr>
        <w:t xml:space="preserve"> </w:t>
      </w:r>
      <w:r w:rsidR="00194902">
        <w:rPr>
          <w:sz w:val="22"/>
          <w:lang w:val="en-GB"/>
        </w:rPr>
        <w:t>Regarding</w:t>
      </w:r>
      <w:r w:rsidR="00AF3507" w:rsidRPr="00C87945">
        <w:rPr>
          <w:sz w:val="22"/>
          <w:lang w:val="en-GB"/>
        </w:rPr>
        <w:t xml:space="preserve"> </w:t>
      </w:r>
      <w:r w:rsidR="00167782">
        <w:rPr>
          <w:sz w:val="22"/>
          <w:lang w:val="en-GB"/>
        </w:rPr>
        <w:t xml:space="preserve">their </w:t>
      </w:r>
      <w:r w:rsidR="00AF3507" w:rsidRPr="00C87945">
        <w:rPr>
          <w:sz w:val="22"/>
          <w:lang w:val="en-GB"/>
        </w:rPr>
        <w:t>financing, the participation of 1-2 persons from third countries can be ensured through the TA.</w:t>
      </w:r>
    </w:p>
    <w:p w:rsidR="00876863" w:rsidRPr="00C87945" w:rsidRDefault="00876863" w:rsidP="00B00A62">
      <w:pPr>
        <w:pStyle w:val="berschrift1"/>
        <w:rPr>
          <w:rFonts w:ascii="Trebuchet MS" w:hAnsi="Trebuchet MS"/>
          <w:sz w:val="22"/>
        </w:rPr>
      </w:pPr>
      <w:bookmarkStart w:id="9" w:name="_Toc345320108"/>
      <w:r w:rsidRPr="00C87945">
        <w:rPr>
          <w:rFonts w:ascii="Trebuchet MS" w:hAnsi="Trebuchet MS"/>
          <w:sz w:val="22"/>
        </w:rPr>
        <w:t>Internet Platform of PA 9</w:t>
      </w:r>
      <w:bookmarkEnd w:id="9"/>
    </w:p>
    <w:p w:rsidR="00876863" w:rsidRPr="00C87945" w:rsidRDefault="00876863" w:rsidP="00B00A62">
      <w:pPr>
        <w:tabs>
          <w:tab w:val="left" w:pos="1843"/>
        </w:tabs>
        <w:jc w:val="both"/>
        <w:rPr>
          <w:sz w:val="22"/>
          <w:lang w:val="en-GB"/>
        </w:rPr>
      </w:pPr>
      <w:r w:rsidRPr="00C87945">
        <w:rPr>
          <w:smallCaps/>
          <w:sz w:val="22"/>
          <w:lang w:val="en-GB"/>
        </w:rPr>
        <w:t>Mirtl</w:t>
      </w:r>
      <w:r w:rsidRPr="00C87945">
        <w:rPr>
          <w:sz w:val="22"/>
          <w:lang w:val="en-GB"/>
        </w:rPr>
        <w:t xml:space="preserve"> (AT) gives a</w:t>
      </w:r>
      <w:r w:rsidR="00F859CA" w:rsidRPr="00C87945">
        <w:rPr>
          <w:sz w:val="22"/>
          <w:lang w:val="en-GB"/>
        </w:rPr>
        <w:t xml:space="preserve"> short</w:t>
      </w:r>
      <w:r w:rsidRPr="00C87945">
        <w:rPr>
          <w:sz w:val="22"/>
          <w:lang w:val="en-GB"/>
        </w:rPr>
        <w:t xml:space="preserve"> overview of current developments on PA9’s website</w:t>
      </w:r>
      <w:r w:rsidR="008D7D4E">
        <w:rPr>
          <w:rStyle w:val="Funotenzeichen"/>
          <w:lang w:val="en-GB"/>
        </w:rPr>
        <w:footnoteReference w:id="2"/>
      </w:r>
      <w:r w:rsidRPr="00C87945">
        <w:rPr>
          <w:sz w:val="22"/>
          <w:lang w:val="en-GB"/>
        </w:rPr>
        <w:t>, which is o</w:t>
      </w:r>
      <w:r w:rsidR="00F61DC2">
        <w:rPr>
          <w:sz w:val="22"/>
          <w:lang w:val="en-GB"/>
        </w:rPr>
        <w:t>ne of the most visible of all PA</w:t>
      </w:r>
      <w:r w:rsidRPr="00C87945">
        <w:rPr>
          <w:sz w:val="22"/>
          <w:lang w:val="en-GB"/>
        </w:rPr>
        <w:t>s of the EUSDR</w:t>
      </w:r>
      <w:r w:rsidR="000E1BB4">
        <w:rPr>
          <w:sz w:val="22"/>
          <w:lang w:val="en-GB"/>
        </w:rPr>
        <w:t xml:space="preserve"> and the EUSDR in general</w:t>
      </w:r>
      <w:r w:rsidRPr="00C87945">
        <w:rPr>
          <w:sz w:val="22"/>
          <w:lang w:val="en-GB"/>
        </w:rPr>
        <w:t>. SG members are encouraged to make use of a network of more than 500 stakeholders and to interlink websites of projects or institutions with the website of PA9.</w:t>
      </w:r>
    </w:p>
    <w:p w:rsidR="00324BFD" w:rsidRDefault="00277FEF" w:rsidP="00B00A62">
      <w:pPr>
        <w:pStyle w:val="berschrift1"/>
        <w:rPr>
          <w:rFonts w:ascii="Trebuchet MS" w:hAnsi="Trebuchet MS"/>
          <w:sz w:val="22"/>
        </w:rPr>
      </w:pPr>
      <w:bookmarkStart w:id="10" w:name="_Toc345320109"/>
      <w:r w:rsidRPr="00C87945">
        <w:rPr>
          <w:rFonts w:ascii="Trebuchet MS" w:hAnsi="Trebuchet MS"/>
          <w:sz w:val="22"/>
        </w:rPr>
        <w:t>Next Meeting and A.o.B.</w:t>
      </w:r>
      <w:r w:rsidR="00324BFD" w:rsidRPr="00C87945">
        <w:rPr>
          <w:rFonts w:ascii="Trebuchet MS" w:hAnsi="Trebuchet MS"/>
          <w:sz w:val="22"/>
        </w:rPr>
        <w:t>; Final Conclusions, Deliverables and Next Steps</w:t>
      </w:r>
      <w:bookmarkEnd w:id="10"/>
    </w:p>
    <w:p w:rsidR="00A93062" w:rsidRDefault="00A93062" w:rsidP="00B00A62">
      <w:pPr>
        <w:spacing w:after="0"/>
        <w:jc w:val="both"/>
        <w:rPr>
          <w:sz w:val="22"/>
          <w:lang w:val="en-GB"/>
        </w:rPr>
      </w:pPr>
      <w:r w:rsidRPr="00A93062">
        <w:rPr>
          <w:sz w:val="22"/>
          <w:lang w:val="en-GB"/>
        </w:rPr>
        <w:t xml:space="preserve">SG discusses </w:t>
      </w:r>
      <w:r>
        <w:rPr>
          <w:sz w:val="22"/>
          <w:lang w:val="en-GB"/>
        </w:rPr>
        <w:t xml:space="preserve">its </w:t>
      </w:r>
      <w:r w:rsidRPr="00A93062">
        <w:rPr>
          <w:sz w:val="22"/>
          <w:lang w:val="en-GB"/>
        </w:rPr>
        <w:t>next meeting</w:t>
      </w:r>
      <w:r>
        <w:rPr>
          <w:sz w:val="22"/>
          <w:lang w:val="en-GB"/>
        </w:rPr>
        <w:t xml:space="preserve">. </w:t>
      </w:r>
    </w:p>
    <w:p w:rsidR="00A93062" w:rsidRDefault="00A93062" w:rsidP="00B00A62">
      <w:pPr>
        <w:jc w:val="both"/>
        <w:rPr>
          <w:sz w:val="22"/>
          <w:lang w:val="en-GB"/>
        </w:rPr>
      </w:pPr>
      <w:r w:rsidRPr="00C87945">
        <w:rPr>
          <w:smallCaps/>
          <w:sz w:val="22"/>
          <w:lang w:val="en-GB"/>
        </w:rPr>
        <w:t>Štěpánková (SK)</w:t>
      </w:r>
      <w:r>
        <w:rPr>
          <w:smallCaps/>
          <w:sz w:val="22"/>
          <w:lang w:val="en-GB"/>
        </w:rPr>
        <w:t xml:space="preserve"> </w:t>
      </w:r>
      <w:r w:rsidRPr="00A93062">
        <w:rPr>
          <w:sz w:val="22"/>
          <w:lang w:val="en-GB"/>
        </w:rPr>
        <w:t xml:space="preserve">proposes </w:t>
      </w:r>
      <w:r>
        <w:rPr>
          <w:sz w:val="22"/>
          <w:lang w:val="en-GB"/>
        </w:rPr>
        <w:t xml:space="preserve">to hold the next meeting back-to-back </w:t>
      </w:r>
      <w:r w:rsidR="00364D62">
        <w:rPr>
          <w:sz w:val="22"/>
          <w:lang w:val="en-GB"/>
        </w:rPr>
        <w:t xml:space="preserve">with the SG meeting </w:t>
      </w:r>
      <w:r w:rsidR="00615677">
        <w:rPr>
          <w:sz w:val="22"/>
          <w:lang w:val="en-GB"/>
        </w:rPr>
        <w:t xml:space="preserve">of </w:t>
      </w:r>
      <w:r w:rsidR="00364D62">
        <w:rPr>
          <w:sz w:val="22"/>
          <w:lang w:val="en-GB"/>
        </w:rPr>
        <w:t>PA8 in Bratislava and will check if SG of PA9 can be invited by the SK Ministry for Education.</w:t>
      </w:r>
    </w:p>
    <w:p w:rsidR="00364D62" w:rsidRDefault="00364D62" w:rsidP="00B00A62">
      <w:pPr>
        <w:jc w:val="both"/>
        <w:rPr>
          <w:sz w:val="22"/>
          <w:lang w:val="en-GB"/>
        </w:rPr>
      </w:pPr>
      <w:r w:rsidRPr="00364D62">
        <w:rPr>
          <w:smallCaps/>
          <w:sz w:val="22"/>
          <w:lang w:val="en-US"/>
        </w:rPr>
        <w:t>Gumene (MD)</w:t>
      </w:r>
      <w:r w:rsidRPr="00364D62">
        <w:rPr>
          <w:sz w:val="22"/>
          <w:lang w:val="en-GB"/>
        </w:rPr>
        <w:t xml:space="preserve"> also</w:t>
      </w:r>
      <w:r>
        <w:rPr>
          <w:sz w:val="22"/>
          <w:lang w:val="en-GB"/>
        </w:rPr>
        <w:t xml:space="preserve"> invites to a SG meeting in Chişinău.</w:t>
      </w:r>
    </w:p>
    <w:p w:rsidR="00364D62" w:rsidRPr="00364D62" w:rsidRDefault="00364D62" w:rsidP="00B00A62">
      <w:pPr>
        <w:jc w:val="both"/>
        <w:rPr>
          <w:sz w:val="22"/>
          <w:lang w:val="en-GB"/>
        </w:rPr>
      </w:pPr>
      <w:r w:rsidRPr="00705CEC">
        <w:rPr>
          <w:smallCaps/>
          <w:sz w:val="22"/>
          <w:lang w:val="en-US"/>
        </w:rPr>
        <w:t>J</w:t>
      </w:r>
      <w:r w:rsidR="00705CEC" w:rsidRPr="00705CEC">
        <w:rPr>
          <w:smallCaps/>
          <w:sz w:val="22"/>
          <w:lang w:val="en-US"/>
        </w:rPr>
        <w:t>eremić</w:t>
      </w:r>
      <w:r w:rsidR="00705CEC">
        <w:rPr>
          <w:sz w:val="22"/>
          <w:lang w:val="en-GB"/>
        </w:rPr>
        <w:t xml:space="preserve"> (RS) invites </w:t>
      </w:r>
      <w:r w:rsidR="00A17C96">
        <w:rPr>
          <w:sz w:val="22"/>
          <w:lang w:val="en-GB"/>
        </w:rPr>
        <w:t>to</w:t>
      </w:r>
      <w:r w:rsidR="00705CEC">
        <w:rPr>
          <w:sz w:val="22"/>
          <w:lang w:val="en-GB"/>
        </w:rPr>
        <w:t xml:space="preserve"> a meeting in Belgrade.</w:t>
      </w:r>
    </w:p>
    <w:tbl>
      <w:tblPr>
        <w:tblStyle w:val="Tabellengitternetz"/>
        <w:tblW w:w="0" w:type="auto"/>
        <w:shd w:val="clear" w:color="auto" w:fill="BFBFBF" w:themeFill="background1" w:themeFillShade="BF"/>
        <w:tblLook w:val="04A0"/>
      </w:tblPr>
      <w:tblGrid>
        <w:gridCol w:w="9212"/>
      </w:tblGrid>
      <w:tr w:rsidR="00D961F3" w:rsidRPr="00C87945" w:rsidTr="00C427FF">
        <w:tc>
          <w:tcPr>
            <w:tcW w:w="9212" w:type="dxa"/>
            <w:shd w:val="clear" w:color="auto" w:fill="BFBFBF" w:themeFill="background1" w:themeFillShade="BF"/>
          </w:tcPr>
          <w:p w:rsidR="00880F8B" w:rsidRPr="00C87945" w:rsidRDefault="00D961F3" w:rsidP="00B00A62">
            <w:pPr>
              <w:shd w:val="clear" w:color="auto" w:fill="BFBFBF" w:themeFill="background1" w:themeFillShade="BF"/>
              <w:tabs>
                <w:tab w:val="left" w:pos="1843"/>
              </w:tabs>
              <w:spacing w:after="0"/>
              <w:rPr>
                <w:b/>
                <w:lang w:val="en-GB"/>
              </w:rPr>
            </w:pPr>
            <w:r w:rsidRPr="00C87945">
              <w:rPr>
                <w:b/>
                <w:lang w:val="en-GB"/>
              </w:rPr>
              <w:t xml:space="preserve">Short overview </w:t>
            </w:r>
            <w:r w:rsidR="004D4018" w:rsidRPr="00C87945">
              <w:rPr>
                <w:b/>
                <w:lang w:val="en-GB"/>
              </w:rPr>
              <w:t>of</w:t>
            </w:r>
            <w:r w:rsidR="00013745">
              <w:rPr>
                <w:b/>
                <w:lang w:val="en-GB"/>
              </w:rPr>
              <w:t xml:space="preserve"> final conclusions,</w:t>
            </w:r>
            <w:r w:rsidRPr="00C87945">
              <w:rPr>
                <w:b/>
                <w:lang w:val="en-GB"/>
              </w:rPr>
              <w:t xml:space="preserve"> result</w:t>
            </w:r>
            <w:r w:rsidR="00880F8B" w:rsidRPr="00C87945">
              <w:rPr>
                <w:b/>
                <w:lang w:val="en-GB"/>
              </w:rPr>
              <w:t xml:space="preserve">s and </w:t>
            </w:r>
            <w:r w:rsidR="004D4018" w:rsidRPr="00C87945">
              <w:rPr>
                <w:b/>
                <w:lang w:val="en-GB"/>
              </w:rPr>
              <w:t>deliverables</w:t>
            </w:r>
          </w:p>
          <w:p w:rsidR="004D4018" w:rsidRPr="00C87945" w:rsidRDefault="004D4018" w:rsidP="00B00A62">
            <w:pPr>
              <w:shd w:val="clear" w:color="auto" w:fill="BFBFBF" w:themeFill="background1" w:themeFillShade="BF"/>
              <w:tabs>
                <w:tab w:val="left" w:pos="1843"/>
              </w:tabs>
              <w:spacing w:after="0"/>
              <w:rPr>
                <w:b/>
                <w:lang w:val="en-GB"/>
              </w:rPr>
            </w:pPr>
          </w:p>
          <w:p w:rsidR="00D961F3" w:rsidRPr="00C87945" w:rsidRDefault="00D961F3" w:rsidP="00B00A62">
            <w:pPr>
              <w:pStyle w:val="Listenabsatz"/>
              <w:numPr>
                <w:ilvl w:val="0"/>
                <w:numId w:val="15"/>
              </w:numPr>
              <w:shd w:val="clear" w:color="auto" w:fill="BFBFBF" w:themeFill="background1" w:themeFillShade="BF"/>
              <w:tabs>
                <w:tab w:val="left" w:pos="1843"/>
              </w:tabs>
              <w:spacing w:after="0"/>
              <w:rPr>
                <w:lang w:val="en-GB"/>
              </w:rPr>
            </w:pPr>
            <w:r w:rsidRPr="00C87945">
              <w:rPr>
                <w:b/>
                <w:lang w:val="en-GB"/>
              </w:rPr>
              <w:t>1</w:t>
            </w:r>
            <w:r w:rsidRPr="00C87945">
              <w:rPr>
                <w:b/>
                <w:vertAlign w:val="superscript"/>
                <w:lang w:val="en-GB"/>
              </w:rPr>
              <w:t>st</w:t>
            </w:r>
            <w:r w:rsidR="00C427FF" w:rsidRPr="00C87945">
              <w:rPr>
                <w:b/>
                <w:lang w:val="en-GB"/>
              </w:rPr>
              <w:t xml:space="preserve"> </w:t>
            </w:r>
            <w:r w:rsidRPr="00C87945">
              <w:rPr>
                <w:b/>
                <w:lang w:val="en-GB"/>
              </w:rPr>
              <w:t>Annual Forum of the EUSDR</w:t>
            </w:r>
            <w:r w:rsidRPr="00C87945">
              <w:rPr>
                <w:lang w:val="en-GB"/>
              </w:rPr>
              <w:t xml:space="preserve">: SG welcomes the results, the positive ambiance and the political commitment at the </w:t>
            </w:r>
            <w:r w:rsidR="00A17C96">
              <w:rPr>
                <w:lang w:val="en-GB"/>
              </w:rPr>
              <w:t>1</w:t>
            </w:r>
            <w:r w:rsidR="00A17C96" w:rsidRPr="00A17C96">
              <w:rPr>
                <w:vertAlign w:val="superscript"/>
                <w:lang w:val="en-GB"/>
              </w:rPr>
              <w:t>st</w:t>
            </w:r>
            <w:r w:rsidR="00A17C96">
              <w:rPr>
                <w:lang w:val="en-GB"/>
              </w:rPr>
              <w:t xml:space="preserve"> </w:t>
            </w:r>
            <w:r w:rsidRPr="00C87945">
              <w:rPr>
                <w:lang w:val="en-GB"/>
              </w:rPr>
              <w:t>A</w:t>
            </w:r>
            <w:r w:rsidR="00A17C96">
              <w:rPr>
                <w:lang w:val="en-GB"/>
              </w:rPr>
              <w:t>nnual Forum of the EUSDR</w:t>
            </w:r>
            <w:r w:rsidRPr="00C87945">
              <w:rPr>
                <w:lang w:val="en-GB"/>
              </w:rPr>
              <w:t xml:space="preserve"> and workshop 5 “Promoting Empowerment, Smart Skills &amp; Inclusive Growth” and calls for education and labour market issues to be included on top of the agenda of the EUSDR.</w:t>
            </w:r>
          </w:p>
          <w:p w:rsidR="00D961F3" w:rsidRPr="00C87945" w:rsidRDefault="00D961F3" w:rsidP="00B00A62">
            <w:pPr>
              <w:pStyle w:val="Listenabsatz"/>
              <w:numPr>
                <w:ilvl w:val="0"/>
                <w:numId w:val="15"/>
              </w:numPr>
              <w:shd w:val="clear" w:color="auto" w:fill="BFBFBF" w:themeFill="background1" w:themeFillShade="BF"/>
              <w:tabs>
                <w:tab w:val="left" w:pos="1843"/>
              </w:tabs>
              <w:rPr>
                <w:lang w:val="en-GB"/>
              </w:rPr>
            </w:pPr>
            <w:r w:rsidRPr="00C87945">
              <w:rPr>
                <w:b/>
                <w:lang w:val="en-GB"/>
              </w:rPr>
              <w:t>Letter of Recommendation (LoR)</w:t>
            </w:r>
            <w:r w:rsidRPr="00C87945">
              <w:rPr>
                <w:lang w:val="en-GB"/>
              </w:rPr>
              <w:t>: Decisions of the SG for LoR can only focus on the compliance of projects/initiatives with the project criteria of PA9</w:t>
            </w:r>
            <w:r w:rsidRPr="008D7D4E">
              <w:rPr>
                <w:sz w:val="20"/>
                <w:vertAlign w:val="superscript"/>
              </w:rPr>
              <w:footnoteReference w:id="3"/>
            </w:r>
            <w:r w:rsidRPr="00C87945">
              <w:rPr>
                <w:lang w:val="en-GB"/>
              </w:rPr>
              <w:t xml:space="preserve"> decided at </w:t>
            </w:r>
            <w:r w:rsidR="001716B7" w:rsidRPr="00C87945">
              <w:rPr>
                <w:lang w:val="en-GB"/>
              </w:rPr>
              <w:t>the</w:t>
            </w:r>
            <w:r w:rsidRPr="00C87945">
              <w:rPr>
                <w:lang w:val="en-GB"/>
              </w:rPr>
              <w:t xml:space="preserve"> 2nd SG meeting in Zagreb in December 2011.</w:t>
            </w:r>
          </w:p>
          <w:p w:rsidR="00D961F3" w:rsidRPr="00C87945" w:rsidRDefault="00D961F3" w:rsidP="00B00A62">
            <w:pPr>
              <w:pStyle w:val="Listenabsatz"/>
              <w:numPr>
                <w:ilvl w:val="0"/>
                <w:numId w:val="15"/>
              </w:numPr>
              <w:shd w:val="clear" w:color="auto" w:fill="BFBFBF" w:themeFill="background1" w:themeFillShade="BF"/>
              <w:tabs>
                <w:tab w:val="left" w:pos="1843"/>
              </w:tabs>
              <w:rPr>
                <w:lang w:val="en-GB"/>
              </w:rPr>
            </w:pPr>
            <w:r w:rsidRPr="00C87945">
              <w:rPr>
                <w:lang w:val="en-GB"/>
              </w:rPr>
              <w:t xml:space="preserve">Katarina Ivanković Knežević (HR) drafts </w:t>
            </w:r>
            <w:r w:rsidRPr="00C87945">
              <w:rPr>
                <w:b/>
                <w:lang w:val="en-GB"/>
              </w:rPr>
              <w:t>common position paper of the SG</w:t>
            </w:r>
            <w:r w:rsidRPr="00C87945">
              <w:rPr>
                <w:lang w:val="en-GB"/>
              </w:rPr>
              <w:t xml:space="preserve"> to integrate LoR of the EUSDR-PA9 in the programmes and sends it to the PACs.</w:t>
            </w:r>
          </w:p>
          <w:p w:rsidR="00D961F3" w:rsidRPr="00DA4E24" w:rsidRDefault="00D961F3" w:rsidP="00B00A62">
            <w:pPr>
              <w:pStyle w:val="Listenabsatz"/>
              <w:numPr>
                <w:ilvl w:val="0"/>
                <w:numId w:val="15"/>
              </w:numPr>
              <w:shd w:val="clear" w:color="auto" w:fill="BFBFBF" w:themeFill="background1" w:themeFillShade="BF"/>
              <w:tabs>
                <w:tab w:val="left" w:pos="1843"/>
              </w:tabs>
              <w:rPr>
                <w:lang w:val="en-GB"/>
              </w:rPr>
            </w:pPr>
            <w:r w:rsidRPr="00DA4E24">
              <w:rPr>
                <w:lang w:val="en-GB"/>
              </w:rPr>
              <w:t xml:space="preserve">SG </w:t>
            </w:r>
            <w:r w:rsidR="00DA4E24">
              <w:rPr>
                <w:lang w:val="en-GB"/>
              </w:rPr>
              <w:t xml:space="preserve">agrees to issue a LoR </w:t>
            </w:r>
            <w:r w:rsidR="00915C9E">
              <w:rPr>
                <w:lang w:val="en-GB"/>
              </w:rPr>
              <w:t>for the</w:t>
            </w:r>
            <w:r w:rsidR="00915C9E" w:rsidRPr="00DA4E24">
              <w:rPr>
                <w:lang w:val="en-GB"/>
              </w:rPr>
              <w:t xml:space="preserve"> </w:t>
            </w:r>
            <w:r w:rsidRPr="00DA4E24">
              <w:rPr>
                <w:lang w:val="en-GB"/>
              </w:rPr>
              <w:t>“</w:t>
            </w:r>
            <w:r w:rsidRPr="00DA4E24">
              <w:rPr>
                <w:b/>
                <w:lang w:val="en-GB"/>
              </w:rPr>
              <w:t>Roma Responsibility Project</w:t>
            </w:r>
            <w:r w:rsidRPr="00DA4E24">
              <w:rPr>
                <w:lang w:val="en-GB"/>
              </w:rPr>
              <w:t>”</w:t>
            </w:r>
            <w:r w:rsidR="00915C9E">
              <w:rPr>
                <w:lang w:val="en-GB"/>
              </w:rPr>
              <w:t>.</w:t>
            </w:r>
          </w:p>
          <w:p w:rsidR="00D961F3" w:rsidRPr="00C87945" w:rsidRDefault="00D961F3" w:rsidP="00B00A62">
            <w:pPr>
              <w:pStyle w:val="Listenabsatz"/>
              <w:numPr>
                <w:ilvl w:val="0"/>
                <w:numId w:val="15"/>
              </w:numPr>
              <w:tabs>
                <w:tab w:val="left" w:pos="1843"/>
              </w:tabs>
              <w:rPr>
                <w:lang w:val="en-GB"/>
              </w:rPr>
            </w:pPr>
            <w:r w:rsidRPr="00DA4E24">
              <w:rPr>
                <w:b/>
                <w:lang w:val="en-GB"/>
              </w:rPr>
              <w:t>Invitation of civil society organisations</w:t>
            </w:r>
            <w:r w:rsidRPr="00DA4E24">
              <w:rPr>
                <w:lang w:val="en-GB"/>
              </w:rPr>
              <w:t xml:space="preserve"> to SG (Proposal by PAC10): SG agrees to invite only civil society organisations with strategic relevance. SG </w:t>
            </w:r>
            <w:r w:rsidRPr="00DA4E24">
              <w:rPr>
                <w:b/>
                <w:lang w:val="en-GB"/>
              </w:rPr>
              <w:t>members send their</w:t>
            </w:r>
            <w:r w:rsidRPr="00DA4E24">
              <w:rPr>
                <w:lang w:val="en-GB"/>
              </w:rPr>
              <w:t xml:space="preserve"> proposals for organisations that could be involved </w:t>
            </w:r>
            <w:r w:rsidRPr="00DA4E24">
              <w:rPr>
                <w:b/>
                <w:lang w:val="en-GB"/>
              </w:rPr>
              <w:t>by 25 Janu</w:t>
            </w:r>
            <w:r w:rsidRPr="00C87945">
              <w:rPr>
                <w:b/>
                <w:lang w:val="en-GB"/>
              </w:rPr>
              <w:t>ary 2013</w:t>
            </w:r>
            <w:r w:rsidRPr="00C87945">
              <w:rPr>
                <w:lang w:val="en-GB"/>
              </w:rPr>
              <w:t>. Proposals sh</w:t>
            </w:r>
            <w:r w:rsidR="00CA4244">
              <w:rPr>
                <w:lang w:val="en-GB"/>
              </w:rPr>
              <w:t>ould have a maximum length of ~</w:t>
            </w:r>
            <w:r w:rsidRPr="00C87945">
              <w:rPr>
                <w:lang w:val="en-GB"/>
              </w:rPr>
              <w:t>1000 characters.</w:t>
            </w:r>
          </w:p>
          <w:p w:rsidR="00880F8B" w:rsidRPr="00C87945" w:rsidRDefault="00880F8B" w:rsidP="00B00A62">
            <w:pPr>
              <w:pStyle w:val="Listenabsatz"/>
              <w:numPr>
                <w:ilvl w:val="0"/>
                <w:numId w:val="15"/>
              </w:numPr>
              <w:shd w:val="clear" w:color="auto" w:fill="BFBFBF" w:themeFill="background1" w:themeFillShade="BF"/>
              <w:tabs>
                <w:tab w:val="left" w:pos="1843"/>
              </w:tabs>
              <w:rPr>
                <w:lang w:val="en-GB"/>
              </w:rPr>
            </w:pPr>
            <w:r w:rsidRPr="00C87945">
              <w:rPr>
                <w:b/>
                <w:lang w:val="en-GB"/>
              </w:rPr>
              <w:t>Work Plan</w:t>
            </w:r>
            <w:r w:rsidRPr="00C87945">
              <w:rPr>
                <w:lang w:val="en-GB"/>
              </w:rPr>
              <w:t xml:space="preserve">: </w:t>
            </w:r>
            <w:r w:rsidR="00D961F3" w:rsidRPr="00C87945">
              <w:rPr>
                <w:lang w:val="en-GB"/>
              </w:rPr>
              <w:t>SG agrees on Work Plan update as proposed by the PACs.</w:t>
            </w:r>
            <w:r w:rsidRPr="00C87945">
              <w:rPr>
                <w:lang w:val="en-GB"/>
              </w:rPr>
              <w:t xml:space="preserve"> </w:t>
            </w:r>
          </w:p>
          <w:p w:rsidR="00D961F3" w:rsidRPr="00C87945" w:rsidRDefault="00880F8B" w:rsidP="00B00A62">
            <w:pPr>
              <w:pStyle w:val="Listenabsatz"/>
              <w:numPr>
                <w:ilvl w:val="0"/>
                <w:numId w:val="15"/>
              </w:numPr>
              <w:shd w:val="clear" w:color="auto" w:fill="BFBFBF" w:themeFill="background1" w:themeFillShade="BF"/>
              <w:tabs>
                <w:tab w:val="left" w:pos="1843"/>
              </w:tabs>
              <w:rPr>
                <w:lang w:val="en-GB"/>
              </w:rPr>
            </w:pPr>
            <w:r w:rsidRPr="00C87945">
              <w:rPr>
                <w:b/>
                <w:lang w:val="en-GB"/>
              </w:rPr>
              <w:t>Guidelines for the Functioning of the Steering Group</w:t>
            </w:r>
            <w:r w:rsidRPr="00C87945">
              <w:rPr>
                <w:lang w:val="en-GB"/>
              </w:rPr>
              <w:t>: SG agrees to amend the Guidelines as proposed by the PACs.</w:t>
            </w:r>
          </w:p>
          <w:p w:rsidR="00D961F3" w:rsidRPr="00C87945" w:rsidRDefault="00D961F3" w:rsidP="00B00A62">
            <w:pPr>
              <w:pStyle w:val="Listenabsatz"/>
              <w:numPr>
                <w:ilvl w:val="0"/>
                <w:numId w:val="15"/>
              </w:numPr>
              <w:tabs>
                <w:tab w:val="left" w:pos="1843"/>
              </w:tabs>
              <w:rPr>
                <w:lang w:val="en-GB"/>
              </w:rPr>
            </w:pPr>
            <w:r w:rsidRPr="00C87945">
              <w:rPr>
                <w:b/>
                <w:lang w:val="en-GB"/>
              </w:rPr>
              <w:t>Summary of activities since SG3</w:t>
            </w:r>
            <w:r w:rsidRPr="00C87945">
              <w:rPr>
                <w:lang w:val="en-GB"/>
              </w:rPr>
              <w:t>:</w:t>
            </w:r>
          </w:p>
          <w:p w:rsidR="00D961F3" w:rsidRPr="00C87945" w:rsidRDefault="00D961F3" w:rsidP="00B00A62">
            <w:pPr>
              <w:pStyle w:val="Listenabsatz"/>
              <w:numPr>
                <w:ilvl w:val="1"/>
                <w:numId w:val="15"/>
              </w:numPr>
              <w:tabs>
                <w:tab w:val="left" w:pos="1843"/>
              </w:tabs>
              <w:rPr>
                <w:lang w:val="en-GB"/>
              </w:rPr>
            </w:pPr>
            <w:r w:rsidRPr="00C87945">
              <w:rPr>
                <w:lang w:val="en-GB"/>
              </w:rPr>
              <w:t>Austrian National Agency for Lifelong Learning event for Comenius project development in the Danube Region in Vienna, October 2012</w:t>
            </w:r>
          </w:p>
          <w:p w:rsidR="00D961F3" w:rsidRPr="00C87945" w:rsidRDefault="00D961F3" w:rsidP="00B00A62">
            <w:pPr>
              <w:pStyle w:val="Listenabsatz"/>
              <w:numPr>
                <w:ilvl w:val="1"/>
                <w:numId w:val="15"/>
              </w:numPr>
              <w:tabs>
                <w:tab w:val="left" w:pos="1843"/>
              </w:tabs>
              <w:rPr>
                <w:lang w:val="en-GB"/>
              </w:rPr>
            </w:pPr>
            <w:r w:rsidRPr="00C87945">
              <w:rPr>
                <w:lang w:val="en-GB"/>
              </w:rPr>
              <w:lastRenderedPageBreak/>
              <w:t>WGs 1,3,4,5: Strat</w:t>
            </w:r>
            <w:r w:rsidR="007B27C4">
              <w:rPr>
                <w:lang w:val="en-GB"/>
              </w:rPr>
              <w:t>egic meeting of WGs related to E</w:t>
            </w:r>
            <w:r w:rsidRPr="00C87945">
              <w:rPr>
                <w:lang w:val="en-GB"/>
              </w:rPr>
              <w:t>ducation</w:t>
            </w:r>
            <w:r w:rsidR="007B27C4">
              <w:rPr>
                <w:lang w:val="en-GB"/>
              </w:rPr>
              <w:t xml:space="preserve"> &amp; Training</w:t>
            </w:r>
            <w:r w:rsidRPr="00C87945">
              <w:rPr>
                <w:lang w:val="en-GB"/>
              </w:rPr>
              <w:t xml:space="preserve"> in Vienna, October 2012</w:t>
            </w:r>
          </w:p>
          <w:p w:rsidR="00D961F3" w:rsidRPr="00C87945" w:rsidRDefault="00D961F3" w:rsidP="00B00A62">
            <w:pPr>
              <w:pStyle w:val="Listenabsatz"/>
              <w:numPr>
                <w:ilvl w:val="1"/>
                <w:numId w:val="15"/>
              </w:numPr>
              <w:tabs>
                <w:tab w:val="left" w:pos="1843"/>
              </w:tabs>
              <w:rPr>
                <w:lang w:val="en-GB"/>
              </w:rPr>
            </w:pPr>
            <w:r w:rsidRPr="00C87945">
              <w:rPr>
                <w:lang w:val="en-GB"/>
              </w:rPr>
              <w:t>WG6: Meeting in Belgrade, November 2012</w:t>
            </w:r>
          </w:p>
          <w:p w:rsidR="00D961F3" w:rsidRPr="00C87945" w:rsidRDefault="00D961F3" w:rsidP="00B00A62">
            <w:pPr>
              <w:pStyle w:val="Listenabsatz"/>
              <w:numPr>
                <w:ilvl w:val="1"/>
                <w:numId w:val="15"/>
              </w:numPr>
              <w:tabs>
                <w:tab w:val="left" w:pos="1843"/>
              </w:tabs>
              <w:rPr>
                <w:lang w:val="en-GB"/>
              </w:rPr>
            </w:pPr>
            <w:r w:rsidRPr="00C87945">
              <w:rPr>
                <w:lang w:val="en-GB"/>
              </w:rPr>
              <w:t>WG7: Meeting in Budapest, November 2012</w:t>
            </w:r>
          </w:p>
          <w:p w:rsidR="00810E6D" w:rsidRPr="00C87945" w:rsidRDefault="00810E6D" w:rsidP="00B00A62">
            <w:pPr>
              <w:pStyle w:val="Listenabsatz"/>
              <w:numPr>
                <w:ilvl w:val="0"/>
                <w:numId w:val="15"/>
              </w:numPr>
              <w:tabs>
                <w:tab w:val="left" w:pos="1843"/>
              </w:tabs>
              <w:rPr>
                <w:lang w:val="en-GB"/>
              </w:rPr>
            </w:pPr>
            <w:r w:rsidRPr="00C87945">
              <w:rPr>
                <w:b/>
                <w:lang w:val="en-GB"/>
              </w:rPr>
              <w:t>Upcoming activities</w:t>
            </w:r>
            <w:r w:rsidRPr="00C87945">
              <w:rPr>
                <w:lang w:val="en-GB"/>
              </w:rPr>
              <w:t xml:space="preserve">: </w:t>
            </w:r>
          </w:p>
          <w:p w:rsidR="00DA4E24" w:rsidRDefault="00DA4E24" w:rsidP="00B00A62">
            <w:pPr>
              <w:pStyle w:val="Listenabsatz"/>
              <w:numPr>
                <w:ilvl w:val="1"/>
                <w:numId w:val="15"/>
              </w:numPr>
              <w:tabs>
                <w:tab w:val="left" w:pos="1843"/>
              </w:tabs>
              <w:rPr>
                <w:lang w:val="en-GB"/>
              </w:rPr>
            </w:pPr>
            <w:r w:rsidRPr="00C87945">
              <w:rPr>
                <w:lang w:val="en-GB"/>
              </w:rPr>
              <w:t>Peer Learning event on VET in Vienna, December 2012</w:t>
            </w:r>
          </w:p>
          <w:p w:rsidR="00DA4E24" w:rsidRPr="00C87945" w:rsidRDefault="00DA4E24" w:rsidP="00B00A62">
            <w:pPr>
              <w:pStyle w:val="Listenabsatz"/>
              <w:numPr>
                <w:ilvl w:val="1"/>
                <w:numId w:val="15"/>
              </w:numPr>
              <w:tabs>
                <w:tab w:val="left" w:pos="1843"/>
              </w:tabs>
              <w:rPr>
                <w:lang w:val="en-GB"/>
              </w:rPr>
            </w:pPr>
            <w:r>
              <w:rPr>
                <w:lang w:val="en-GB"/>
              </w:rPr>
              <w:t>NCP-PAC</w:t>
            </w:r>
            <w:r w:rsidR="005A794B">
              <w:rPr>
                <w:lang w:val="en-GB"/>
              </w:rPr>
              <w:t xml:space="preserve"> meeting in Brussels</w:t>
            </w:r>
            <w:r w:rsidR="008A4052">
              <w:rPr>
                <w:lang w:val="en-GB"/>
              </w:rPr>
              <w:t>, end of January</w:t>
            </w:r>
            <w:r w:rsidR="009E2F36">
              <w:rPr>
                <w:lang w:val="en-GB"/>
              </w:rPr>
              <w:t xml:space="preserve"> 2013</w:t>
            </w:r>
          </w:p>
          <w:p w:rsidR="00810E6D" w:rsidRPr="00C87945" w:rsidRDefault="00D961F3" w:rsidP="00B00A62">
            <w:pPr>
              <w:pStyle w:val="Listenabsatz"/>
              <w:numPr>
                <w:ilvl w:val="1"/>
                <w:numId w:val="15"/>
              </w:numPr>
              <w:tabs>
                <w:tab w:val="left" w:pos="1843"/>
              </w:tabs>
              <w:rPr>
                <w:lang w:val="en-GB"/>
              </w:rPr>
            </w:pPr>
            <w:r w:rsidRPr="00C87945">
              <w:rPr>
                <w:lang w:val="en-GB"/>
              </w:rPr>
              <w:t>The first meeting of WG3</w:t>
            </w:r>
            <w:r w:rsidR="00810E6D" w:rsidRPr="00C87945">
              <w:rPr>
                <w:lang w:val="en-GB"/>
              </w:rPr>
              <w:t xml:space="preserve"> will be organised</w:t>
            </w:r>
            <w:r w:rsidRPr="00C87945">
              <w:rPr>
                <w:lang w:val="en-GB"/>
              </w:rPr>
              <w:t xml:space="preserve"> </w:t>
            </w:r>
            <w:r w:rsidR="00810E6D" w:rsidRPr="00C87945">
              <w:rPr>
                <w:lang w:val="en-GB"/>
              </w:rPr>
              <w:t>by BG</w:t>
            </w:r>
            <w:r w:rsidR="00D15405" w:rsidRPr="00C87945">
              <w:rPr>
                <w:lang w:val="en-GB"/>
              </w:rPr>
              <w:t xml:space="preserve"> in spring 2013</w:t>
            </w:r>
            <w:r w:rsidR="00364D62">
              <w:rPr>
                <w:lang w:val="en-GB"/>
              </w:rPr>
              <w:t>.</w:t>
            </w:r>
          </w:p>
          <w:p w:rsidR="00D961F3" w:rsidRPr="00C940BD" w:rsidRDefault="00810E6D" w:rsidP="00B00A62">
            <w:pPr>
              <w:pStyle w:val="Listenabsatz"/>
              <w:numPr>
                <w:ilvl w:val="1"/>
                <w:numId w:val="15"/>
              </w:numPr>
              <w:tabs>
                <w:tab w:val="left" w:pos="1843"/>
              </w:tabs>
              <w:rPr>
                <w:lang w:val="en-GB"/>
              </w:rPr>
            </w:pPr>
            <w:r w:rsidRPr="00C87945">
              <w:rPr>
                <w:lang w:val="en-GB"/>
              </w:rPr>
              <w:t xml:space="preserve">The first meeting </w:t>
            </w:r>
            <w:r w:rsidR="009B4277">
              <w:rPr>
                <w:lang w:val="en-GB"/>
              </w:rPr>
              <w:t xml:space="preserve">of </w:t>
            </w:r>
            <w:r w:rsidR="00D961F3" w:rsidRPr="00C87945">
              <w:rPr>
                <w:lang w:val="en-GB"/>
              </w:rPr>
              <w:t xml:space="preserve">WG2 </w:t>
            </w:r>
            <w:r w:rsidRPr="00C87945">
              <w:rPr>
                <w:lang w:val="en-GB"/>
              </w:rPr>
              <w:t xml:space="preserve">will be organised </w:t>
            </w:r>
            <w:r w:rsidR="00D961F3" w:rsidRPr="00C87945">
              <w:rPr>
                <w:lang w:val="en-GB"/>
              </w:rPr>
              <w:t>by HR</w:t>
            </w:r>
            <w:r w:rsidR="00C940BD">
              <w:rPr>
                <w:lang w:val="en-GB"/>
              </w:rPr>
              <w:t xml:space="preserve"> in March or April 2013.</w:t>
            </w:r>
          </w:p>
          <w:p w:rsidR="00C940BD" w:rsidRPr="00C87945" w:rsidRDefault="00C940BD" w:rsidP="00B00A62">
            <w:pPr>
              <w:pStyle w:val="Listenabsatz"/>
              <w:numPr>
                <w:ilvl w:val="1"/>
                <w:numId w:val="15"/>
              </w:numPr>
              <w:tabs>
                <w:tab w:val="left" w:pos="1843"/>
              </w:tabs>
              <w:rPr>
                <w:lang w:val="en-GB"/>
              </w:rPr>
            </w:pPr>
            <w:r>
              <w:rPr>
                <w:lang w:val="en-GB"/>
              </w:rPr>
              <w:t>The first meeting of WG8 will be organised by AT in spring 2013.</w:t>
            </w:r>
          </w:p>
          <w:p w:rsidR="00D961F3" w:rsidRDefault="00D961F3" w:rsidP="00B00A62">
            <w:pPr>
              <w:pStyle w:val="Listenabsatz"/>
              <w:numPr>
                <w:ilvl w:val="1"/>
                <w:numId w:val="15"/>
              </w:numPr>
              <w:tabs>
                <w:tab w:val="left" w:pos="1843"/>
              </w:tabs>
              <w:rPr>
                <w:lang w:val="en-GB"/>
              </w:rPr>
            </w:pPr>
            <w:r w:rsidRPr="00C87945">
              <w:rPr>
                <w:lang w:val="en-GB"/>
              </w:rPr>
              <w:t>R</w:t>
            </w:r>
            <w:r w:rsidR="00A472E4">
              <w:rPr>
                <w:lang w:val="en-GB"/>
              </w:rPr>
              <w:t>O takes over coordination of activities in the framework of WG4</w:t>
            </w:r>
            <w:r w:rsidR="00D15405" w:rsidRPr="00C87945">
              <w:rPr>
                <w:lang w:val="en-GB"/>
              </w:rPr>
              <w:t>.</w:t>
            </w:r>
          </w:p>
          <w:p w:rsidR="00DA4E24" w:rsidRPr="00C87945" w:rsidRDefault="00DA4E24" w:rsidP="00B00A62">
            <w:pPr>
              <w:pStyle w:val="Listenabsatz"/>
              <w:numPr>
                <w:ilvl w:val="1"/>
                <w:numId w:val="15"/>
              </w:numPr>
              <w:tabs>
                <w:tab w:val="left" w:pos="1843"/>
              </w:tabs>
              <w:rPr>
                <w:lang w:val="en-GB"/>
              </w:rPr>
            </w:pPr>
            <w:r>
              <w:rPr>
                <w:lang w:val="en-GB"/>
              </w:rPr>
              <w:t>Follow-up event to Stakeholder Conference (June 2012), second half of 2013</w:t>
            </w:r>
          </w:p>
          <w:p w:rsidR="00D961F3" w:rsidRPr="00C87945" w:rsidRDefault="00D961F3" w:rsidP="00B00A62">
            <w:pPr>
              <w:pStyle w:val="Listenabsatz"/>
              <w:numPr>
                <w:ilvl w:val="0"/>
                <w:numId w:val="15"/>
              </w:numPr>
              <w:shd w:val="clear" w:color="auto" w:fill="BFBFBF" w:themeFill="background1" w:themeFillShade="BF"/>
              <w:tabs>
                <w:tab w:val="left" w:pos="1843"/>
              </w:tabs>
              <w:rPr>
                <w:lang w:val="en-GB"/>
              </w:rPr>
            </w:pPr>
            <w:r w:rsidRPr="00C87945">
              <w:rPr>
                <w:b/>
                <w:lang w:val="en-GB"/>
              </w:rPr>
              <w:t xml:space="preserve">Next </w:t>
            </w:r>
            <w:r w:rsidR="00D15405" w:rsidRPr="00C87945">
              <w:rPr>
                <w:b/>
                <w:lang w:val="en-GB"/>
              </w:rPr>
              <w:t xml:space="preserve">SG </w:t>
            </w:r>
            <w:r w:rsidRPr="00C87945">
              <w:rPr>
                <w:b/>
                <w:lang w:val="en-GB"/>
              </w:rPr>
              <w:t>meeting</w:t>
            </w:r>
            <w:r w:rsidRPr="00C87945">
              <w:rPr>
                <w:lang w:val="en-GB"/>
              </w:rPr>
              <w:t>: SG agrees on the following options</w:t>
            </w:r>
            <w:r w:rsidR="00915C9E">
              <w:rPr>
                <w:lang w:val="en-GB"/>
              </w:rPr>
              <w:t xml:space="preserve"> </w:t>
            </w:r>
            <w:r w:rsidRPr="00C87945">
              <w:rPr>
                <w:lang w:val="en-GB"/>
              </w:rPr>
              <w:t>for SG meetings in 2013:</w:t>
            </w:r>
          </w:p>
          <w:p w:rsidR="00D961F3" w:rsidRPr="00C87945" w:rsidRDefault="00D961F3" w:rsidP="00B00A62">
            <w:pPr>
              <w:pStyle w:val="Listenabsatz"/>
              <w:numPr>
                <w:ilvl w:val="1"/>
                <w:numId w:val="15"/>
              </w:numPr>
              <w:shd w:val="clear" w:color="auto" w:fill="BFBFBF" w:themeFill="background1" w:themeFillShade="BF"/>
              <w:tabs>
                <w:tab w:val="left" w:pos="1843"/>
              </w:tabs>
              <w:spacing w:after="0"/>
              <w:rPr>
                <w:lang w:val="en-GB"/>
              </w:rPr>
            </w:pPr>
            <w:r w:rsidRPr="00C87945">
              <w:rPr>
                <w:lang w:val="en-GB"/>
              </w:rPr>
              <w:t xml:space="preserve">Bratislava in </w:t>
            </w:r>
            <w:r w:rsidR="003207D3">
              <w:rPr>
                <w:lang w:val="en-GB"/>
              </w:rPr>
              <w:t>May/June</w:t>
            </w:r>
            <w:r w:rsidRPr="00C87945">
              <w:rPr>
                <w:lang w:val="en-GB"/>
              </w:rPr>
              <w:t xml:space="preserve"> 2013, jointly with PA8 (and maybe PA7)</w:t>
            </w:r>
          </w:p>
          <w:p w:rsidR="004D663B" w:rsidRDefault="00D961F3" w:rsidP="00B00A62">
            <w:pPr>
              <w:pStyle w:val="Listenabsatz"/>
              <w:numPr>
                <w:ilvl w:val="1"/>
                <w:numId w:val="15"/>
              </w:numPr>
              <w:shd w:val="clear" w:color="auto" w:fill="BFBFBF" w:themeFill="background1" w:themeFillShade="BF"/>
              <w:tabs>
                <w:tab w:val="left" w:pos="1843"/>
              </w:tabs>
              <w:spacing w:after="0"/>
              <w:rPr>
                <w:lang w:val="en-GB"/>
              </w:rPr>
            </w:pPr>
            <w:r w:rsidRPr="00C87945">
              <w:rPr>
                <w:lang w:val="en-GB"/>
              </w:rPr>
              <w:t xml:space="preserve">Chişinău </w:t>
            </w:r>
          </w:p>
          <w:p w:rsidR="00D961F3" w:rsidRPr="00C87945" w:rsidRDefault="00D961F3" w:rsidP="00B00A62">
            <w:pPr>
              <w:pStyle w:val="Listenabsatz"/>
              <w:numPr>
                <w:ilvl w:val="1"/>
                <w:numId w:val="15"/>
              </w:numPr>
              <w:shd w:val="clear" w:color="auto" w:fill="BFBFBF" w:themeFill="background1" w:themeFillShade="BF"/>
              <w:tabs>
                <w:tab w:val="left" w:pos="1843"/>
              </w:tabs>
              <w:spacing w:after="0"/>
              <w:rPr>
                <w:lang w:val="en-GB"/>
              </w:rPr>
            </w:pPr>
            <w:r w:rsidRPr="00C87945">
              <w:rPr>
                <w:lang w:val="en-GB"/>
              </w:rPr>
              <w:t>Belgrade</w:t>
            </w:r>
          </w:p>
        </w:tc>
      </w:tr>
    </w:tbl>
    <w:p w:rsidR="00D961F3" w:rsidRDefault="00D961F3" w:rsidP="00B00A62">
      <w:pPr>
        <w:shd w:val="clear" w:color="auto" w:fill="FFFFFF" w:themeFill="background1"/>
        <w:tabs>
          <w:tab w:val="left" w:pos="1843"/>
        </w:tabs>
        <w:jc w:val="both"/>
        <w:rPr>
          <w:b/>
          <w:sz w:val="22"/>
          <w:lang w:val="en-GB"/>
        </w:rPr>
      </w:pPr>
    </w:p>
    <w:p w:rsidR="002E7BBA" w:rsidRPr="00773218" w:rsidRDefault="002E7BBA" w:rsidP="00B00A62">
      <w:pPr>
        <w:tabs>
          <w:tab w:val="left" w:pos="1843"/>
        </w:tabs>
        <w:jc w:val="both"/>
        <w:rPr>
          <w:sz w:val="22"/>
          <w:lang w:val="en-GB"/>
        </w:rPr>
      </w:pPr>
      <w:r w:rsidRPr="00773218">
        <w:rPr>
          <w:sz w:val="22"/>
          <w:lang w:val="en-GB"/>
        </w:rPr>
        <w:t>Minutes taken by Jörg Mirtl</w:t>
      </w:r>
      <w:r w:rsidR="00731F47" w:rsidRPr="00773218">
        <w:rPr>
          <w:sz w:val="22"/>
          <w:lang w:val="en-GB"/>
        </w:rPr>
        <w:t>.</w:t>
      </w:r>
    </w:p>
    <w:p w:rsidR="002E7BBA" w:rsidRPr="00C87945" w:rsidRDefault="002E7BBA" w:rsidP="00B00A62">
      <w:pPr>
        <w:shd w:val="clear" w:color="auto" w:fill="FFFFFF" w:themeFill="background1"/>
        <w:tabs>
          <w:tab w:val="left" w:pos="1843"/>
        </w:tabs>
        <w:jc w:val="both"/>
        <w:rPr>
          <w:b/>
          <w:sz w:val="22"/>
          <w:lang w:val="en-GB"/>
        </w:rPr>
      </w:pPr>
    </w:p>
    <w:p w:rsidR="00E24018" w:rsidRPr="00C87945" w:rsidRDefault="00E24018" w:rsidP="00B00A62">
      <w:pPr>
        <w:tabs>
          <w:tab w:val="left" w:pos="1843"/>
        </w:tabs>
        <w:jc w:val="both"/>
        <w:rPr>
          <w:sz w:val="22"/>
          <w:lang w:val="en-GB"/>
        </w:rPr>
      </w:pPr>
      <w:r w:rsidRPr="00C87945">
        <w:rPr>
          <w:sz w:val="22"/>
          <w:lang w:val="en-GB"/>
        </w:rPr>
        <w:t>Attachment</w:t>
      </w:r>
      <w:r w:rsidR="00B936CF" w:rsidRPr="00C87945">
        <w:rPr>
          <w:sz w:val="22"/>
          <w:lang w:val="en-GB"/>
        </w:rPr>
        <w:t xml:space="preserve"> </w:t>
      </w:r>
      <w:r w:rsidRPr="00C87945">
        <w:rPr>
          <w:sz w:val="22"/>
          <w:lang w:val="en-GB"/>
        </w:rPr>
        <w:t>1: Updated Work Plan of PA9</w:t>
      </w:r>
    </w:p>
    <w:p w:rsidR="00E24018" w:rsidRPr="00C87945" w:rsidRDefault="00E24018" w:rsidP="00B00A62">
      <w:pPr>
        <w:tabs>
          <w:tab w:val="left" w:pos="1843"/>
        </w:tabs>
        <w:jc w:val="both"/>
        <w:rPr>
          <w:sz w:val="22"/>
          <w:lang w:val="en-GB"/>
        </w:rPr>
      </w:pPr>
      <w:r w:rsidRPr="00C87945">
        <w:rPr>
          <w:sz w:val="22"/>
          <w:lang w:val="en-GB"/>
        </w:rPr>
        <w:t>Attachment</w:t>
      </w:r>
      <w:r w:rsidR="00B936CF" w:rsidRPr="00C87945">
        <w:rPr>
          <w:sz w:val="22"/>
          <w:lang w:val="en-GB"/>
        </w:rPr>
        <w:t xml:space="preserve"> </w:t>
      </w:r>
      <w:r w:rsidRPr="00C87945">
        <w:rPr>
          <w:sz w:val="22"/>
          <w:lang w:val="en-GB"/>
        </w:rPr>
        <w:t xml:space="preserve">2: </w:t>
      </w:r>
      <w:r w:rsidR="00220FE9" w:rsidRPr="00C87945">
        <w:rPr>
          <w:sz w:val="22"/>
          <w:lang w:val="en-GB"/>
        </w:rPr>
        <w:t xml:space="preserve">Amended Guidelines for the Functioning of PA9 </w:t>
      </w:r>
    </w:p>
    <w:p w:rsidR="00220FE9" w:rsidRPr="00C87945" w:rsidRDefault="00220FE9" w:rsidP="00B00A62">
      <w:pPr>
        <w:tabs>
          <w:tab w:val="left" w:pos="1843"/>
          <w:tab w:val="left" w:pos="6684"/>
        </w:tabs>
        <w:jc w:val="both"/>
        <w:rPr>
          <w:sz w:val="22"/>
          <w:lang w:val="en-GB"/>
        </w:rPr>
      </w:pPr>
      <w:r w:rsidRPr="00C87945">
        <w:rPr>
          <w:sz w:val="22"/>
          <w:lang w:val="en-GB"/>
        </w:rPr>
        <w:t>Attachment</w:t>
      </w:r>
      <w:r w:rsidR="00B936CF" w:rsidRPr="00C87945">
        <w:rPr>
          <w:sz w:val="22"/>
          <w:lang w:val="en-GB"/>
        </w:rPr>
        <w:t xml:space="preserve"> </w:t>
      </w:r>
      <w:r w:rsidRPr="00C87945">
        <w:rPr>
          <w:sz w:val="22"/>
          <w:lang w:val="en-GB"/>
        </w:rPr>
        <w:t>3: List of Participants of SG4</w:t>
      </w:r>
      <w:r w:rsidR="00BB73DE">
        <w:rPr>
          <w:sz w:val="22"/>
          <w:lang w:val="en-GB"/>
        </w:rPr>
        <w:tab/>
      </w:r>
    </w:p>
    <w:p w:rsidR="00220FE9" w:rsidRPr="00C87945" w:rsidRDefault="00220FE9" w:rsidP="00B00A62">
      <w:pPr>
        <w:tabs>
          <w:tab w:val="left" w:pos="1843"/>
        </w:tabs>
        <w:jc w:val="both"/>
        <w:rPr>
          <w:sz w:val="22"/>
          <w:lang w:val="en-GB"/>
        </w:rPr>
      </w:pPr>
      <w:r w:rsidRPr="00C87945">
        <w:rPr>
          <w:sz w:val="22"/>
          <w:lang w:val="en-GB"/>
        </w:rPr>
        <w:t>Attachment</w:t>
      </w:r>
      <w:r w:rsidR="00B936CF" w:rsidRPr="00C87945">
        <w:rPr>
          <w:sz w:val="22"/>
          <w:lang w:val="en-GB"/>
        </w:rPr>
        <w:t xml:space="preserve"> </w:t>
      </w:r>
      <w:r w:rsidRPr="00C87945">
        <w:rPr>
          <w:sz w:val="22"/>
          <w:lang w:val="en-GB"/>
        </w:rPr>
        <w:t>4: Project Criteria of PA9</w:t>
      </w:r>
    </w:p>
    <w:p w:rsidR="00B936CF" w:rsidRDefault="00B936CF" w:rsidP="00B00A62">
      <w:pPr>
        <w:tabs>
          <w:tab w:val="left" w:pos="1843"/>
        </w:tabs>
        <w:ind w:left="1843" w:hanging="1843"/>
        <w:jc w:val="both"/>
        <w:rPr>
          <w:sz w:val="22"/>
          <w:lang w:val="en-GB"/>
        </w:rPr>
      </w:pPr>
      <w:r w:rsidRPr="00C87945">
        <w:rPr>
          <w:sz w:val="22"/>
          <w:lang w:val="en-GB"/>
        </w:rPr>
        <w:t>Attachment 5: Report from workshop 5 of the 1</w:t>
      </w:r>
      <w:r w:rsidRPr="00C87945">
        <w:rPr>
          <w:sz w:val="22"/>
          <w:vertAlign w:val="superscript"/>
          <w:lang w:val="en-GB"/>
        </w:rPr>
        <w:t>st</w:t>
      </w:r>
      <w:r w:rsidRPr="00C87945">
        <w:rPr>
          <w:sz w:val="22"/>
          <w:lang w:val="en-GB"/>
        </w:rPr>
        <w:t xml:space="preserve"> Annual f</w:t>
      </w:r>
      <w:r w:rsidR="00973A8E">
        <w:rPr>
          <w:sz w:val="22"/>
          <w:lang w:val="en-GB"/>
        </w:rPr>
        <w:t xml:space="preserve">orum of the EUSDR (organised by </w:t>
      </w:r>
      <w:r w:rsidRPr="00C87945">
        <w:rPr>
          <w:sz w:val="22"/>
          <w:lang w:val="en-GB"/>
        </w:rPr>
        <w:t>PAC9)</w:t>
      </w:r>
    </w:p>
    <w:p w:rsidR="00DA4E24" w:rsidRDefault="006377FE" w:rsidP="00B00A62">
      <w:pPr>
        <w:tabs>
          <w:tab w:val="left" w:pos="1843"/>
        </w:tabs>
        <w:jc w:val="both"/>
        <w:rPr>
          <w:sz w:val="22"/>
          <w:lang w:val="en-GB"/>
        </w:rPr>
      </w:pPr>
      <w:r>
        <w:rPr>
          <w:sz w:val="22"/>
          <w:lang w:val="en-GB"/>
        </w:rPr>
        <w:t>Attachment 6: Terms of R</w:t>
      </w:r>
      <w:r w:rsidR="00DA4E24">
        <w:rPr>
          <w:sz w:val="22"/>
          <w:lang w:val="en-GB"/>
        </w:rPr>
        <w:t>eference</w:t>
      </w:r>
      <w:r w:rsidR="007810ED">
        <w:rPr>
          <w:sz w:val="22"/>
          <w:lang w:val="en-GB"/>
        </w:rPr>
        <w:t xml:space="preserve"> for Working Groups</w:t>
      </w:r>
    </w:p>
    <w:p w:rsidR="00973A8E" w:rsidRDefault="00DA4E24" w:rsidP="00B00A62">
      <w:pPr>
        <w:tabs>
          <w:tab w:val="left" w:pos="1843"/>
        </w:tabs>
        <w:jc w:val="both"/>
        <w:rPr>
          <w:sz w:val="22"/>
          <w:lang w:val="en-GB"/>
        </w:rPr>
      </w:pPr>
      <w:r>
        <w:rPr>
          <w:sz w:val="22"/>
          <w:lang w:val="en-GB"/>
        </w:rPr>
        <w:t xml:space="preserve">Attachment </w:t>
      </w:r>
      <w:r w:rsidR="003B4306">
        <w:rPr>
          <w:sz w:val="22"/>
          <w:lang w:val="en-GB"/>
        </w:rPr>
        <w:t>7</w:t>
      </w:r>
      <w:r w:rsidR="007810ED">
        <w:rPr>
          <w:sz w:val="22"/>
          <w:lang w:val="en-GB"/>
        </w:rPr>
        <w:t>:</w:t>
      </w:r>
      <w:r w:rsidR="003B4306">
        <w:rPr>
          <w:sz w:val="22"/>
          <w:lang w:val="en-GB"/>
        </w:rPr>
        <w:t xml:space="preserve"> Request by PA10</w:t>
      </w:r>
      <w:r w:rsidR="007731FB">
        <w:rPr>
          <w:sz w:val="22"/>
          <w:lang w:val="en-GB"/>
        </w:rPr>
        <w:t xml:space="preserve"> on</w:t>
      </w:r>
      <w:r w:rsidR="003B4306">
        <w:rPr>
          <w:sz w:val="22"/>
          <w:lang w:val="en-GB"/>
        </w:rPr>
        <w:t xml:space="preserve"> Civil Society</w:t>
      </w:r>
    </w:p>
    <w:p w:rsidR="00AB44E2" w:rsidRDefault="00AB44E2" w:rsidP="00B00A62">
      <w:pPr>
        <w:tabs>
          <w:tab w:val="left" w:pos="1843"/>
        </w:tabs>
        <w:ind w:left="1843" w:hanging="1843"/>
        <w:jc w:val="both"/>
        <w:rPr>
          <w:sz w:val="22"/>
          <w:lang w:val="en-GB"/>
        </w:rPr>
      </w:pPr>
      <w:r>
        <w:rPr>
          <w:sz w:val="22"/>
          <w:lang w:val="en-GB"/>
        </w:rPr>
        <w:t>Attachment</w:t>
      </w:r>
      <w:r w:rsidR="00973A8E">
        <w:rPr>
          <w:sz w:val="22"/>
          <w:lang w:val="en-GB"/>
        </w:rPr>
        <w:t xml:space="preserve"> 8:</w:t>
      </w:r>
      <w:r>
        <w:rPr>
          <w:sz w:val="22"/>
          <w:lang w:val="en-GB"/>
        </w:rPr>
        <w:t xml:space="preserve"> </w:t>
      </w:r>
      <w:r w:rsidRPr="00AB44E2">
        <w:rPr>
          <w:sz w:val="22"/>
          <w:lang w:val="en-GB"/>
        </w:rPr>
        <w:t>Non-Paper for Working Groups related to Education &amp; Training (WGs 1,3,4,5)</w:t>
      </w:r>
    </w:p>
    <w:p w:rsidR="001D2CAB" w:rsidRDefault="001D2CAB" w:rsidP="00B00A62">
      <w:pPr>
        <w:tabs>
          <w:tab w:val="left" w:pos="1843"/>
        </w:tabs>
        <w:ind w:left="1843" w:hanging="1843"/>
        <w:jc w:val="both"/>
        <w:rPr>
          <w:sz w:val="22"/>
          <w:lang w:val="en-GB"/>
        </w:rPr>
      </w:pPr>
      <w:r>
        <w:rPr>
          <w:sz w:val="22"/>
          <w:lang w:val="en-GB"/>
        </w:rPr>
        <w:t>Attachment 9:</w:t>
      </w:r>
      <w:r w:rsidR="003207D3">
        <w:rPr>
          <w:sz w:val="22"/>
          <w:lang w:val="en-GB"/>
        </w:rPr>
        <w:t xml:space="preserve"> Results of</w:t>
      </w:r>
      <w:r>
        <w:rPr>
          <w:sz w:val="22"/>
          <w:lang w:val="en-GB"/>
        </w:rPr>
        <w:t xml:space="preserve"> Working Groups related to Labour Market and Marginalised Communities (WGs 6 and 7)</w:t>
      </w:r>
      <w:bookmarkStart w:id="11" w:name="_GoBack"/>
      <w:bookmarkEnd w:id="11"/>
    </w:p>
    <w:p w:rsidR="002E7BBA" w:rsidRPr="00973A8E" w:rsidRDefault="002E7BBA" w:rsidP="00B00A62">
      <w:pPr>
        <w:tabs>
          <w:tab w:val="left" w:pos="1843"/>
        </w:tabs>
        <w:jc w:val="both"/>
        <w:rPr>
          <w:sz w:val="22"/>
          <w:lang w:val="en-GB"/>
        </w:rPr>
      </w:pPr>
    </w:p>
    <w:sectPr w:rsidR="002E7BBA" w:rsidRPr="00973A8E" w:rsidSect="00E55B05">
      <w:headerReference w:type="default" r:id="rId8"/>
      <w:footerReference w:type="default" r:id="rId9"/>
      <w:type w:val="continuous"/>
      <w:pgSz w:w="11906" w:h="16838"/>
      <w:pgMar w:top="1417" w:right="1417" w:bottom="113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6FF5" w:rsidRDefault="008E6FF5" w:rsidP="00D42E99">
      <w:pPr>
        <w:spacing w:after="0"/>
      </w:pPr>
      <w:r>
        <w:separator/>
      </w:r>
    </w:p>
  </w:endnote>
  <w:endnote w:type="continuationSeparator" w:id="0">
    <w:p w:rsidR="008E6FF5" w:rsidRDefault="008E6FF5" w:rsidP="00D42E99">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20000287" w:usb1="00000000" w:usb2="00000000" w:usb3="00000000" w:csb0="0000019F" w:csb1="00000000"/>
  </w:font>
  <w:font w:name="Times">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SimSun">
    <w:altName w:val="Arial Unicode MS"/>
    <w:panose1 w:val="02010600030101010101"/>
    <w:charset w:val="86"/>
    <w:family w:val="auto"/>
    <w:notTrueType/>
    <w:pitch w:val="variable"/>
    <w:sig w:usb0="00000000"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4DF5" w:rsidRPr="00D42E99" w:rsidRDefault="00441847" w:rsidP="00D1081A">
    <w:pPr>
      <w:tabs>
        <w:tab w:val="center" w:pos="4536"/>
        <w:tab w:val="right" w:pos="9072"/>
      </w:tabs>
      <w:spacing w:after="0"/>
      <w:rPr>
        <w:rFonts w:ascii="Cambria" w:hAnsi="Cambria"/>
        <w:color w:val="0E4194"/>
        <w:sz w:val="20"/>
        <w:szCs w:val="20"/>
        <w:lang w:val="en-US"/>
      </w:rPr>
    </w:pPr>
    <w:r>
      <w:rPr>
        <w:rFonts w:ascii="Cambria" w:hAnsi="Cambria"/>
        <w:noProof/>
        <w:color w:val="0E4194"/>
        <w:sz w:val="20"/>
        <w:szCs w:val="20"/>
        <w:lang w:val="de-AT" w:eastAsia="de-AT"/>
      </w:rPr>
      <w:pict>
        <v:shapetype id="_x0000_t32" coordsize="21600,21600" o:spt="32" o:oned="t" path="m,l21600,21600e" filled="f">
          <v:path arrowok="t" fillok="f" o:connecttype="none"/>
          <o:lock v:ext="edit" shapetype="t"/>
        </v:shapetype>
        <v:shape id="AutoShape 1" o:spid="_x0000_s4097" type="#_x0000_t32" style="position:absolute;margin-left:-7pt;margin-top:4.9pt;width:522.7pt;height:0;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" strokecolor="#0e4194" strokeweight=".5pt"/>
      </w:pict>
    </w:r>
  </w:p>
  <w:p w:rsidR="001F4DF5" w:rsidRPr="00D1081A" w:rsidRDefault="001F4DF5" w:rsidP="00D1081A">
    <w:pPr>
      <w:pStyle w:val="Fuzeile"/>
      <w:jc w:val="center"/>
      <w:rPr>
        <w:lang w:val="en-US"/>
      </w:rPr>
    </w:pPr>
    <w:r w:rsidRPr="00D42E99">
      <w:rPr>
        <w:color w:val="0E4194"/>
        <w:sz w:val="18"/>
        <w:szCs w:val="20"/>
        <w:lang w:val="en-US"/>
      </w:rPr>
      <w:t xml:space="preserve">EU Strategy for the Danube Region (EUSDR) – Priority Area 9 | </w:t>
    </w:r>
    <w:r w:rsidRPr="00D1081A">
      <w:rPr>
        <w:color w:val="0E4194"/>
        <w:sz w:val="18"/>
        <w:szCs w:val="20"/>
        <w:lang w:val="en-US"/>
      </w:rPr>
      <w:t>www.peopleandskills-danuberegion.eu</w:t>
    </w:r>
    <w:r>
      <w:rPr>
        <w:color w:val="0E4194"/>
        <w:sz w:val="18"/>
        <w:szCs w:val="20"/>
        <w:lang w:val="en-US"/>
      </w:rPr>
      <w:tab/>
    </w:r>
    <w:sdt>
      <w:sdtPr>
        <w:id w:val="47919266"/>
        <w:docPartObj>
          <w:docPartGallery w:val="Page Numbers (Bottom of Page)"/>
          <w:docPartUnique/>
        </w:docPartObj>
      </w:sdtPr>
      <w:sdtContent>
        <w:r w:rsidR="00441847">
          <w:fldChar w:fldCharType="begin"/>
        </w:r>
        <w:r w:rsidRPr="00D1081A">
          <w:rPr>
            <w:lang w:val="en-US"/>
          </w:rPr>
          <w:instrText xml:space="preserve"> PAGE   \* MERGEFORMAT </w:instrText>
        </w:r>
        <w:r w:rsidR="00441847">
          <w:fldChar w:fldCharType="separate"/>
        </w:r>
        <w:r w:rsidR="00B00A62">
          <w:rPr>
            <w:noProof/>
            <w:lang w:val="en-US"/>
          </w:rPr>
          <w:t>7</w:t>
        </w:r>
        <w:r w:rsidR="00441847">
          <w:fldChar w:fldCharType="end"/>
        </w:r>
      </w:sdtContent>
    </w:sdt>
  </w:p>
  <w:p w:rsidR="001F4DF5" w:rsidRPr="00D42E99" w:rsidRDefault="001F4DF5" w:rsidP="00D1081A">
    <w:pPr>
      <w:tabs>
        <w:tab w:val="center" w:pos="4536"/>
        <w:tab w:val="right" w:pos="9072"/>
      </w:tabs>
      <w:spacing w:after="0"/>
      <w:jc w:val="center"/>
      <w:rPr>
        <w:color w:val="0E4194"/>
        <w:sz w:val="18"/>
        <w:szCs w:val="20"/>
        <w:lang w:val="en-US"/>
      </w:rPr>
    </w:pPr>
  </w:p>
  <w:p w:rsidR="001F4DF5" w:rsidRPr="00D42E99" w:rsidRDefault="001F4DF5" w:rsidP="00D42E99">
    <w:pPr>
      <w:tabs>
        <w:tab w:val="center" w:pos="4536"/>
        <w:tab w:val="right" w:pos="9072"/>
      </w:tabs>
      <w:spacing w:after="0"/>
      <w:jc w:val="center"/>
      <w:rPr>
        <w:color w:val="0E4194"/>
        <w:sz w:val="18"/>
        <w:szCs w:val="20"/>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6FF5" w:rsidRDefault="008E6FF5" w:rsidP="00D42E99">
      <w:pPr>
        <w:spacing w:after="0"/>
      </w:pPr>
      <w:r>
        <w:separator/>
      </w:r>
    </w:p>
  </w:footnote>
  <w:footnote w:type="continuationSeparator" w:id="0">
    <w:p w:rsidR="008E6FF5" w:rsidRDefault="008E6FF5" w:rsidP="00D42E99">
      <w:pPr>
        <w:spacing w:after="0"/>
      </w:pPr>
      <w:r>
        <w:continuationSeparator/>
      </w:r>
    </w:p>
  </w:footnote>
  <w:footnote w:id="1">
    <w:p w:rsidR="001F4DF5" w:rsidRPr="00CA742E" w:rsidRDefault="001F4DF5">
      <w:pPr>
        <w:pStyle w:val="Funotentext"/>
        <w:rPr>
          <w:lang w:val="en-US"/>
        </w:rPr>
      </w:pPr>
      <w:r w:rsidRPr="00CA742E">
        <w:rPr>
          <w:rStyle w:val="Funotenzeichen"/>
          <w:lang w:val="en-US"/>
        </w:rPr>
        <w:t>*</w:t>
      </w:r>
      <w:r w:rsidRPr="00CA742E">
        <w:rPr>
          <w:lang w:val="en-US"/>
        </w:rPr>
        <w:t xml:space="preserve"> </w:t>
      </w:r>
      <w:r w:rsidRPr="00C60587">
        <w:rPr>
          <w:lang w:val="en-US"/>
        </w:rPr>
        <w:t>This designation is without prejudice to positions on status, and is in line with UNSCR 1244 and the ICJ Opinion on the Kosovo declaration of independence.</w:t>
      </w:r>
    </w:p>
  </w:footnote>
  <w:footnote w:id="2">
    <w:p w:rsidR="001F4DF5" w:rsidRPr="00615677" w:rsidRDefault="001F4DF5" w:rsidP="008D7D4E">
      <w:pPr>
        <w:pStyle w:val="Funotentext"/>
        <w:rPr>
          <w:lang w:val="en-US"/>
        </w:rPr>
      </w:pPr>
      <w:r>
        <w:rPr>
          <w:rStyle w:val="Funotenzeichen"/>
        </w:rPr>
        <w:footnoteRef/>
      </w:r>
      <w:r w:rsidRPr="00615677">
        <w:rPr>
          <w:lang w:val="en-US"/>
        </w:rPr>
        <w:t xml:space="preserve"> </w:t>
      </w:r>
      <w:hyperlink r:id="rId1" w:history="1">
        <w:r w:rsidRPr="00615677">
          <w:rPr>
            <w:rStyle w:val="Hyperlink"/>
            <w:lang w:val="en-US"/>
          </w:rPr>
          <w:t>http://www.peopleandskills-danuberegion.eu/</w:t>
        </w:r>
      </w:hyperlink>
      <w:r w:rsidRPr="00615677">
        <w:rPr>
          <w:lang w:val="en-US"/>
        </w:rPr>
        <w:t xml:space="preserve"> </w:t>
      </w:r>
    </w:p>
  </w:footnote>
  <w:footnote w:id="3">
    <w:p w:rsidR="001F4DF5" w:rsidRPr="003E0A43" w:rsidRDefault="001F4DF5" w:rsidP="00D961F3">
      <w:pPr>
        <w:pStyle w:val="Funotentext"/>
        <w:rPr>
          <w:lang w:val="en-US"/>
        </w:rPr>
      </w:pPr>
      <w:r w:rsidRPr="003E0A43">
        <w:rPr>
          <w:rStyle w:val="Funotenzeichen"/>
        </w:rPr>
        <w:footnoteRef/>
      </w:r>
      <w:r w:rsidRPr="003E0A43">
        <w:rPr>
          <w:lang w:val="en-US"/>
        </w:rPr>
        <w:t xml:space="preserve"> See </w:t>
      </w:r>
      <w:hyperlink r:id="rId2" w:history="1">
        <w:r w:rsidRPr="006A3144">
          <w:rPr>
            <w:rStyle w:val="Hyperlink"/>
            <w:lang w:val="en-US"/>
          </w:rPr>
          <w:t>http://www.peopleandskills-danuberegion.eu/pages/projects</w:t>
        </w:r>
      </w:hyperlink>
      <w:r>
        <w:rPr>
          <w:lang w:val="en-US"/>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4DF5" w:rsidRDefault="001F4DF5" w:rsidP="00D42E99">
    <w:pPr>
      <w:pStyle w:val="Kopfzeile"/>
      <w:jc w:val="right"/>
    </w:pPr>
    <w:r w:rsidRPr="00D42E99">
      <w:rPr>
        <w:noProof/>
        <w:lang w:val="de-AT" w:eastAsia="de-AT"/>
      </w:rPr>
      <w:drawing>
        <wp:inline distT="0" distB="0" distL="0" distR="0">
          <wp:extent cx="1919695" cy="781653"/>
          <wp:effectExtent l="19050" t="0" r="4355" b="0"/>
          <wp:docPr id="3" name="Bild 1" descr="Logo-09_people+skil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09_people+skills"/>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927071" cy="784656"/>
                  </a:xfrm>
                  <a:prstGeom prst="rect">
                    <a:avLst/>
                  </a:prstGeom>
                  <a:noFill/>
                  <a:ln>
                    <a:noFill/>
                  </a:ln>
                </pic:spPr>
              </pic:pic>
            </a:graphicData>
          </a:graphic>
        </wp:inline>
      </w:drawing>
    </w:r>
  </w:p>
  <w:p w:rsidR="001F4DF5" w:rsidRDefault="001F4DF5" w:rsidP="00D42E99">
    <w:pPr>
      <w:pStyle w:val="Kopfzeile"/>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multilevel"/>
    <w:tmpl w:val="00000005"/>
    <w:name w:val="WWNum12"/>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nsid w:val="01EA1CB0"/>
    <w:multiLevelType w:val="hybridMultilevel"/>
    <w:tmpl w:val="DFD23E28"/>
    <w:name w:val="WWNum1222"/>
    <w:lvl w:ilvl="0" w:tplc="9AF4163A">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nsid w:val="03C07B67"/>
    <w:multiLevelType w:val="hybridMultilevel"/>
    <w:tmpl w:val="F68C17D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08292BD9"/>
    <w:multiLevelType w:val="hybridMultilevel"/>
    <w:tmpl w:val="744C2848"/>
    <w:lvl w:ilvl="0" w:tplc="F4EA635E">
      <w:start w:val="3"/>
      <w:numFmt w:val="decimal"/>
      <w:lvlText w:val="%1"/>
      <w:lvlJc w:val="left"/>
      <w:pPr>
        <w:ind w:left="1080" w:hanging="360"/>
      </w:pPr>
      <w:rPr>
        <w:rFonts w:hint="default"/>
      </w:rPr>
    </w:lvl>
    <w:lvl w:ilvl="1" w:tplc="0C070019" w:tentative="1">
      <w:start w:val="1"/>
      <w:numFmt w:val="lowerLetter"/>
      <w:lvlText w:val="%2."/>
      <w:lvlJc w:val="left"/>
      <w:pPr>
        <w:ind w:left="1800" w:hanging="360"/>
      </w:pPr>
    </w:lvl>
    <w:lvl w:ilvl="2" w:tplc="0C07001B" w:tentative="1">
      <w:start w:val="1"/>
      <w:numFmt w:val="lowerRoman"/>
      <w:lvlText w:val="%3."/>
      <w:lvlJc w:val="right"/>
      <w:pPr>
        <w:ind w:left="2520" w:hanging="180"/>
      </w:pPr>
    </w:lvl>
    <w:lvl w:ilvl="3" w:tplc="0C07000F" w:tentative="1">
      <w:start w:val="1"/>
      <w:numFmt w:val="decimal"/>
      <w:lvlText w:val="%4."/>
      <w:lvlJc w:val="left"/>
      <w:pPr>
        <w:ind w:left="3240" w:hanging="360"/>
      </w:pPr>
    </w:lvl>
    <w:lvl w:ilvl="4" w:tplc="0C070019" w:tentative="1">
      <w:start w:val="1"/>
      <w:numFmt w:val="lowerLetter"/>
      <w:lvlText w:val="%5."/>
      <w:lvlJc w:val="left"/>
      <w:pPr>
        <w:ind w:left="3960" w:hanging="360"/>
      </w:pPr>
    </w:lvl>
    <w:lvl w:ilvl="5" w:tplc="0C07001B" w:tentative="1">
      <w:start w:val="1"/>
      <w:numFmt w:val="lowerRoman"/>
      <w:lvlText w:val="%6."/>
      <w:lvlJc w:val="right"/>
      <w:pPr>
        <w:ind w:left="4680" w:hanging="180"/>
      </w:pPr>
    </w:lvl>
    <w:lvl w:ilvl="6" w:tplc="0C07000F" w:tentative="1">
      <w:start w:val="1"/>
      <w:numFmt w:val="decimal"/>
      <w:lvlText w:val="%7."/>
      <w:lvlJc w:val="left"/>
      <w:pPr>
        <w:ind w:left="5400" w:hanging="360"/>
      </w:pPr>
    </w:lvl>
    <w:lvl w:ilvl="7" w:tplc="0C070019" w:tentative="1">
      <w:start w:val="1"/>
      <w:numFmt w:val="lowerLetter"/>
      <w:lvlText w:val="%8."/>
      <w:lvlJc w:val="left"/>
      <w:pPr>
        <w:ind w:left="6120" w:hanging="360"/>
      </w:pPr>
    </w:lvl>
    <w:lvl w:ilvl="8" w:tplc="0C07001B" w:tentative="1">
      <w:start w:val="1"/>
      <w:numFmt w:val="lowerRoman"/>
      <w:lvlText w:val="%9."/>
      <w:lvlJc w:val="right"/>
      <w:pPr>
        <w:ind w:left="6840" w:hanging="180"/>
      </w:pPr>
    </w:lvl>
  </w:abstractNum>
  <w:abstractNum w:abstractNumId="4">
    <w:nsid w:val="13386E65"/>
    <w:multiLevelType w:val="hybridMultilevel"/>
    <w:tmpl w:val="BF26B866"/>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
    <w:nsid w:val="1C6E6471"/>
    <w:multiLevelType w:val="hybridMultilevel"/>
    <w:tmpl w:val="10CA8FEC"/>
    <w:name w:val="WWNum122"/>
    <w:lvl w:ilvl="0" w:tplc="8DB279AE">
      <w:numFmt w:val="bullet"/>
      <w:lvlText w:val="-"/>
      <w:lvlJc w:val="left"/>
      <w:pPr>
        <w:ind w:left="720" w:hanging="360"/>
      </w:pPr>
      <w:rPr>
        <w:rFonts w:ascii="Verdana" w:eastAsia="Times" w:hAnsi="Verdana"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nsid w:val="226940D9"/>
    <w:multiLevelType w:val="hybridMultilevel"/>
    <w:tmpl w:val="015C888E"/>
    <w:lvl w:ilvl="0" w:tplc="9AF4163A">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nsid w:val="402B658D"/>
    <w:multiLevelType w:val="hybridMultilevel"/>
    <w:tmpl w:val="25DEF980"/>
    <w:lvl w:ilvl="0" w:tplc="04070001">
      <w:start w:val="1"/>
      <w:numFmt w:val="bullet"/>
      <w:lvlText w:val=""/>
      <w:lvlJc w:val="left"/>
      <w:pPr>
        <w:ind w:left="787" w:hanging="360"/>
      </w:pPr>
      <w:rPr>
        <w:rFonts w:ascii="Symbol" w:hAnsi="Symbol" w:hint="default"/>
      </w:rPr>
    </w:lvl>
    <w:lvl w:ilvl="1" w:tplc="04070003" w:tentative="1">
      <w:start w:val="1"/>
      <w:numFmt w:val="bullet"/>
      <w:lvlText w:val="o"/>
      <w:lvlJc w:val="left"/>
      <w:pPr>
        <w:ind w:left="1507" w:hanging="360"/>
      </w:pPr>
      <w:rPr>
        <w:rFonts w:ascii="Courier New" w:hAnsi="Courier New" w:cs="Courier New" w:hint="default"/>
      </w:rPr>
    </w:lvl>
    <w:lvl w:ilvl="2" w:tplc="04070005" w:tentative="1">
      <w:start w:val="1"/>
      <w:numFmt w:val="bullet"/>
      <w:lvlText w:val=""/>
      <w:lvlJc w:val="left"/>
      <w:pPr>
        <w:ind w:left="2227" w:hanging="360"/>
      </w:pPr>
      <w:rPr>
        <w:rFonts w:ascii="Wingdings" w:hAnsi="Wingdings" w:hint="default"/>
      </w:rPr>
    </w:lvl>
    <w:lvl w:ilvl="3" w:tplc="04070001" w:tentative="1">
      <w:start w:val="1"/>
      <w:numFmt w:val="bullet"/>
      <w:lvlText w:val=""/>
      <w:lvlJc w:val="left"/>
      <w:pPr>
        <w:ind w:left="2947" w:hanging="360"/>
      </w:pPr>
      <w:rPr>
        <w:rFonts w:ascii="Symbol" w:hAnsi="Symbol" w:hint="default"/>
      </w:rPr>
    </w:lvl>
    <w:lvl w:ilvl="4" w:tplc="04070003" w:tentative="1">
      <w:start w:val="1"/>
      <w:numFmt w:val="bullet"/>
      <w:lvlText w:val="o"/>
      <w:lvlJc w:val="left"/>
      <w:pPr>
        <w:ind w:left="3667" w:hanging="360"/>
      </w:pPr>
      <w:rPr>
        <w:rFonts w:ascii="Courier New" w:hAnsi="Courier New" w:cs="Courier New" w:hint="default"/>
      </w:rPr>
    </w:lvl>
    <w:lvl w:ilvl="5" w:tplc="04070005" w:tentative="1">
      <w:start w:val="1"/>
      <w:numFmt w:val="bullet"/>
      <w:lvlText w:val=""/>
      <w:lvlJc w:val="left"/>
      <w:pPr>
        <w:ind w:left="4387" w:hanging="360"/>
      </w:pPr>
      <w:rPr>
        <w:rFonts w:ascii="Wingdings" w:hAnsi="Wingdings" w:hint="default"/>
      </w:rPr>
    </w:lvl>
    <w:lvl w:ilvl="6" w:tplc="04070001" w:tentative="1">
      <w:start w:val="1"/>
      <w:numFmt w:val="bullet"/>
      <w:lvlText w:val=""/>
      <w:lvlJc w:val="left"/>
      <w:pPr>
        <w:ind w:left="5107" w:hanging="360"/>
      </w:pPr>
      <w:rPr>
        <w:rFonts w:ascii="Symbol" w:hAnsi="Symbol" w:hint="default"/>
      </w:rPr>
    </w:lvl>
    <w:lvl w:ilvl="7" w:tplc="04070003" w:tentative="1">
      <w:start w:val="1"/>
      <w:numFmt w:val="bullet"/>
      <w:lvlText w:val="o"/>
      <w:lvlJc w:val="left"/>
      <w:pPr>
        <w:ind w:left="5827" w:hanging="360"/>
      </w:pPr>
      <w:rPr>
        <w:rFonts w:ascii="Courier New" w:hAnsi="Courier New" w:cs="Courier New" w:hint="default"/>
      </w:rPr>
    </w:lvl>
    <w:lvl w:ilvl="8" w:tplc="04070005" w:tentative="1">
      <w:start w:val="1"/>
      <w:numFmt w:val="bullet"/>
      <w:lvlText w:val=""/>
      <w:lvlJc w:val="left"/>
      <w:pPr>
        <w:ind w:left="6547" w:hanging="360"/>
      </w:pPr>
      <w:rPr>
        <w:rFonts w:ascii="Wingdings" w:hAnsi="Wingdings" w:hint="default"/>
      </w:rPr>
    </w:lvl>
  </w:abstractNum>
  <w:abstractNum w:abstractNumId="8">
    <w:nsid w:val="43FB3C47"/>
    <w:multiLevelType w:val="hybridMultilevel"/>
    <w:tmpl w:val="7CFC494E"/>
    <w:lvl w:ilvl="0" w:tplc="0C07000F">
      <w:start w:val="1"/>
      <w:numFmt w:val="decimal"/>
      <w:lvlText w:val="%1."/>
      <w:lvlJc w:val="left"/>
      <w:pPr>
        <w:ind w:left="720" w:hanging="360"/>
      </w:pPr>
    </w:lvl>
    <w:lvl w:ilvl="1" w:tplc="0C070019">
      <w:start w:val="1"/>
      <w:numFmt w:val="decimal"/>
      <w:lvlText w:val="%2."/>
      <w:lvlJc w:val="left"/>
      <w:pPr>
        <w:tabs>
          <w:tab w:val="num" w:pos="1440"/>
        </w:tabs>
        <w:ind w:left="1440" w:hanging="360"/>
      </w:pPr>
    </w:lvl>
    <w:lvl w:ilvl="2" w:tplc="0C07001B">
      <w:start w:val="1"/>
      <w:numFmt w:val="decimal"/>
      <w:lvlText w:val="%3."/>
      <w:lvlJc w:val="left"/>
      <w:pPr>
        <w:tabs>
          <w:tab w:val="num" w:pos="2160"/>
        </w:tabs>
        <w:ind w:left="2160" w:hanging="360"/>
      </w:pPr>
    </w:lvl>
    <w:lvl w:ilvl="3" w:tplc="0C07000F">
      <w:start w:val="1"/>
      <w:numFmt w:val="decimal"/>
      <w:lvlText w:val="%4."/>
      <w:lvlJc w:val="left"/>
      <w:pPr>
        <w:tabs>
          <w:tab w:val="num" w:pos="2880"/>
        </w:tabs>
        <w:ind w:left="2880" w:hanging="360"/>
      </w:pPr>
    </w:lvl>
    <w:lvl w:ilvl="4" w:tplc="0C070019">
      <w:start w:val="1"/>
      <w:numFmt w:val="decimal"/>
      <w:lvlText w:val="%5."/>
      <w:lvlJc w:val="left"/>
      <w:pPr>
        <w:tabs>
          <w:tab w:val="num" w:pos="3600"/>
        </w:tabs>
        <w:ind w:left="3600" w:hanging="360"/>
      </w:pPr>
    </w:lvl>
    <w:lvl w:ilvl="5" w:tplc="0C07001B">
      <w:start w:val="1"/>
      <w:numFmt w:val="decimal"/>
      <w:lvlText w:val="%6."/>
      <w:lvlJc w:val="left"/>
      <w:pPr>
        <w:tabs>
          <w:tab w:val="num" w:pos="4320"/>
        </w:tabs>
        <w:ind w:left="4320" w:hanging="360"/>
      </w:pPr>
    </w:lvl>
    <w:lvl w:ilvl="6" w:tplc="0C07000F">
      <w:start w:val="1"/>
      <w:numFmt w:val="decimal"/>
      <w:lvlText w:val="%7."/>
      <w:lvlJc w:val="left"/>
      <w:pPr>
        <w:tabs>
          <w:tab w:val="num" w:pos="5040"/>
        </w:tabs>
        <w:ind w:left="5040" w:hanging="360"/>
      </w:pPr>
    </w:lvl>
    <w:lvl w:ilvl="7" w:tplc="0C070019">
      <w:start w:val="1"/>
      <w:numFmt w:val="decimal"/>
      <w:lvlText w:val="%8."/>
      <w:lvlJc w:val="left"/>
      <w:pPr>
        <w:tabs>
          <w:tab w:val="num" w:pos="5760"/>
        </w:tabs>
        <w:ind w:left="5760" w:hanging="360"/>
      </w:pPr>
    </w:lvl>
    <w:lvl w:ilvl="8" w:tplc="0C07001B">
      <w:start w:val="1"/>
      <w:numFmt w:val="decimal"/>
      <w:lvlText w:val="%9."/>
      <w:lvlJc w:val="left"/>
      <w:pPr>
        <w:tabs>
          <w:tab w:val="num" w:pos="6480"/>
        </w:tabs>
        <w:ind w:left="6480" w:hanging="360"/>
      </w:pPr>
    </w:lvl>
  </w:abstractNum>
  <w:abstractNum w:abstractNumId="9">
    <w:nsid w:val="508F385C"/>
    <w:multiLevelType w:val="hybridMultilevel"/>
    <w:tmpl w:val="D9E8308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nsid w:val="541E4C9B"/>
    <w:multiLevelType w:val="hybridMultilevel"/>
    <w:tmpl w:val="ACA0280C"/>
    <w:lvl w:ilvl="0" w:tplc="E4D8E564">
      <w:start w:val="3"/>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1">
    <w:nsid w:val="5D832AAD"/>
    <w:multiLevelType w:val="hybridMultilevel"/>
    <w:tmpl w:val="CB40F24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nsid w:val="62B624A1"/>
    <w:multiLevelType w:val="hybridMultilevel"/>
    <w:tmpl w:val="003C3C0A"/>
    <w:lvl w:ilvl="0" w:tplc="C3BEDFB0">
      <w:numFmt w:val="decimal"/>
      <w:pStyle w:val="berschrift1"/>
      <w:lvlText w:val="%1."/>
      <w:lvlJc w:val="left"/>
      <w:pPr>
        <w:ind w:left="720" w:hanging="360"/>
      </w:pPr>
      <w:rPr>
        <w:rFonts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nsid w:val="634354FF"/>
    <w:multiLevelType w:val="hybridMultilevel"/>
    <w:tmpl w:val="1200E8D6"/>
    <w:lvl w:ilvl="0" w:tplc="0C070001">
      <w:start w:val="1"/>
      <w:numFmt w:val="bullet"/>
      <w:lvlText w:val=""/>
      <w:lvlJc w:val="left"/>
      <w:pPr>
        <w:ind w:left="1080" w:hanging="360"/>
      </w:pPr>
      <w:rPr>
        <w:rFonts w:ascii="Symbol" w:hAnsi="Symbol"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14">
    <w:nsid w:val="6ABA27D0"/>
    <w:multiLevelType w:val="hybridMultilevel"/>
    <w:tmpl w:val="B9C0900E"/>
    <w:lvl w:ilvl="0" w:tplc="4ED841C0">
      <w:start w:val="3"/>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5">
    <w:nsid w:val="731E1B7A"/>
    <w:multiLevelType w:val="hybridMultilevel"/>
    <w:tmpl w:val="E60C1F3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13"/>
  </w:num>
  <w:num w:numId="4">
    <w:abstractNumId w:val="15"/>
  </w:num>
  <w:num w:numId="5">
    <w:abstractNumId w:val="11"/>
  </w:num>
  <w:num w:numId="6">
    <w:abstractNumId w:val="4"/>
  </w:num>
  <w:num w:numId="7">
    <w:abstractNumId w:val="12"/>
  </w:num>
  <w:num w:numId="8">
    <w:abstractNumId w:val="6"/>
  </w:num>
  <w:num w:numId="9">
    <w:abstractNumId w:val="12"/>
  </w:num>
  <w:num w:numId="10">
    <w:abstractNumId w:val="0"/>
  </w:num>
  <w:num w:numId="11">
    <w:abstractNumId w:val="3"/>
  </w:num>
  <w:num w:numId="12">
    <w:abstractNumId w:val="10"/>
  </w:num>
  <w:num w:numId="13">
    <w:abstractNumId w:val="14"/>
  </w:num>
  <w:num w:numId="14">
    <w:abstractNumId w:val="5"/>
  </w:num>
  <w:num w:numId="15">
    <w:abstractNumId w:val="1"/>
  </w:num>
  <w:num w:numId="16">
    <w:abstractNumId w:val="2"/>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hdrShapeDefaults>
    <o:shapedefaults v:ext="edit" spidmax="4098"/>
    <o:shapelayout v:ext="edit">
      <o:idmap v:ext="edit" data="4"/>
      <o:rules v:ext="edit">
        <o:r id="V:Rule2" type="connector" idref="#AutoShape 1"/>
      </o:rules>
    </o:shapelayout>
  </w:hdrShapeDefaults>
  <w:footnotePr>
    <w:footnote w:id="-1"/>
    <w:footnote w:id="0"/>
  </w:footnotePr>
  <w:endnotePr>
    <w:endnote w:id="-1"/>
    <w:endnote w:id="0"/>
  </w:endnotePr>
  <w:compat/>
  <w:rsids>
    <w:rsidRoot w:val="00D42E99"/>
    <w:rsid w:val="00013745"/>
    <w:rsid w:val="00023D38"/>
    <w:rsid w:val="000429F3"/>
    <w:rsid w:val="000449BB"/>
    <w:rsid w:val="00044E29"/>
    <w:rsid w:val="00063EDA"/>
    <w:rsid w:val="00073CFB"/>
    <w:rsid w:val="00075AB4"/>
    <w:rsid w:val="000A7F5F"/>
    <w:rsid w:val="000B256A"/>
    <w:rsid w:val="000B6211"/>
    <w:rsid w:val="000D66B2"/>
    <w:rsid w:val="000D7AB7"/>
    <w:rsid w:val="000E1BB4"/>
    <w:rsid w:val="000E2F49"/>
    <w:rsid w:val="000F0974"/>
    <w:rsid w:val="00137B43"/>
    <w:rsid w:val="00142EC4"/>
    <w:rsid w:val="00156A38"/>
    <w:rsid w:val="00167782"/>
    <w:rsid w:val="001677E6"/>
    <w:rsid w:val="001716B7"/>
    <w:rsid w:val="00172EC2"/>
    <w:rsid w:val="001756AD"/>
    <w:rsid w:val="00181B79"/>
    <w:rsid w:val="001936BD"/>
    <w:rsid w:val="00194902"/>
    <w:rsid w:val="001A573C"/>
    <w:rsid w:val="001C109F"/>
    <w:rsid w:val="001C48C5"/>
    <w:rsid w:val="001D0CB7"/>
    <w:rsid w:val="001D2CAB"/>
    <w:rsid w:val="001E2CBF"/>
    <w:rsid w:val="001E2E90"/>
    <w:rsid w:val="001F4DF5"/>
    <w:rsid w:val="00207BFB"/>
    <w:rsid w:val="002172DA"/>
    <w:rsid w:val="002203DC"/>
    <w:rsid w:val="00220FE9"/>
    <w:rsid w:val="00273BDF"/>
    <w:rsid w:val="00277FEF"/>
    <w:rsid w:val="00281F0C"/>
    <w:rsid w:val="002847C8"/>
    <w:rsid w:val="002906ED"/>
    <w:rsid w:val="002921AC"/>
    <w:rsid w:val="002933A6"/>
    <w:rsid w:val="00293C94"/>
    <w:rsid w:val="002A2744"/>
    <w:rsid w:val="002C1391"/>
    <w:rsid w:val="002C1CD6"/>
    <w:rsid w:val="002C30DD"/>
    <w:rsid w:val="002D4B43"/>
    <w:rsid w:val="002E7BBA"/>
    <w:rsid w:val="002F752A"/>
    <w:rsid w:val="0030253D"/>
    <w:rsid w:val="00302DD2"/>
    <w:rsid w:val="0030343A"/>
    <w:rsid w:val="00310A8A"/>
    <w:rsid w:val="003207D3"/>
    <w:rsid w:val="00324BFD"/>
    <w:rsid w:val="00331AC6"/>
    <w:rsid w:val="003643DD"/>
    <w:rsid w:val="00364D62"/>
    <w:rsid w:val="00376C6C"/>
    <w:rsid w:val="003A44E9"/>
    <w:rsid w:val="003A5465"/>
    <w:rsid w:val="003A5524"/>
    <w:rsid w:val="003A790B"/>
    <w:rsid w:val="003B4306"/>
    <w:rsid w:val="003E0A43"/>
    <w:rsid w:val="003E7F01"/>
    <w:rsid w:val="00405BBB"/>
    <w:rsid w:val="00434AEC"/>
    <w:rsid w:val="0044058A"/>
    <w:rsid w:val="00441847"/>
    <w:rsid w:val="004443F0"/>
    <w:rsid w:val="004478E8"/>
    <w:rsid w:val="004744B4"/>
    <w:rsid w:val="00475E24"/>
    <w:rsid w:val="00480471"/>
    <w:rsid w:val="004876B8"/>
    <w:rsid w:val="0049221F"/>
    <w:rsid w:val="00495142"/>
    <w:rsid w:val="004A2A7D"/>
    <w:rsid w:val="004B786C"/>
    <w:rsid w:val="004C24C5"/>
    <w:rsid w:val="004D1DFD"/>
    <w:rsid w:val="004D4018"/>
    <w:rsid w:val="004D4954"/>
    <w:rsid w:val="004D663B"/>
    <w:rsid w:val="004D719B"/>
    <w:rsid w:val="004E08FA"/>
    <w:rsid w:val="00504686"/>
    <w:rsid w:val="0051645C"/>
    <w:rsid w:val="0054181E"/>
    <w:rsid w:val="00547EA0"/>
    <w:rsid w:val="00557D77"/>
    <w:rsid w:val="00560B16"/>
    <w:rsid w:val="0057040B"/>
    <w:rsid w:val="00574F6A"/>
    <w:rsid w:val="005764D0"/>
    <w:rsid w:val="005776D8"/>
    <w:rsid w:val="00577C2A"/>
    <w:rsid w:val="005A3C8C"/>
    <w:rsid w:val="005A65CF"/>
    <w:rsid w:val="005A794B"/>
    <w:rsid w:val="005B020D"/>
    <w:rsid w:val="005C7D5F"/>
    <w:rsid w:val="005D5CDA"/>
    <w:rsid w:val="005E0198"/>
    <w:rsid w:val="00602B1F"/>
    <w:rsid w:val="00604D62"/>
    <w:rsid w:val="00607A5A"/>
    <w:rsid w:val="00612418"/>
    <w:rsid w:val="00613C40"/>
    <w:rsid w:val="00615677"/>
    <w:rsid w:val="00616E15"/>
    <w:rsid w:val="00622E0D"/>
    <w:rsid w:val="00634E3F"/>
    <w:rsid w:val="00636510"/>
    <w:rsid w:val="006377FE"/>
    <w:rsid w:val="00695E27"/>
    <w:rsid w:val="006C06D8"/>
    <w:rsid w:val="006E299D"/>
    <w:rsid w:val="006E4DAA"/>
    <w:rsid w:val="006F54AC"/>
    <w:rsid w:val="006F5737"/>
    <w:rsid w:val="006F6CB1"/>
    <w:rsid w:val="00705CEC"/>
    <w:rsid w:val="00731F47"/>
    <w:rsid w:val="00746CC4"/>
    <w:rsid w:val="007532C0"/>
    <w:rsid w:val="00767ED4"/>
    <w:rsid w:val="007731FB"/>
    <w:rsid w:val="00773218"/>
    <w:rsid w:val="00777F0F"/>
    <w:rsid w:val="007810ED"/>
    <w:rsid w:val="007B27C4"/>
    <w:rsid w:val="007C3027"/>
    <w:rsid w:val="007E6156"/>
    <w:rsid w:val="007E7B1A"/>
    <w:rsid w:val="007F0965"/>
    <w:rsid w:val="007F0DC0"/>
    <w:rsid w:val="007F2010"/>
    <w:rsid w:val="007F61E1"/>
    <w:rsid w:val="00810E6D"/>
    <w:rsid w:val="00811FB9"/>
    <w:rsid w:val="00815AF2"/>
    <w:rsid w:val="0084340F"/>
    <w:rsid w:val="00862243"/>
    <w:rsid w:val="00864B93"/>
    <w:rsid w:val="008664F8"/>
    <w:rsid w:val="00875606"/>
    <w:rsid w:val="00876863"/>
    <w:rsid w:val="00880F8B"/>
    <w:rsid w:val="00880FF8"/>
    <w:rsid w:val="00887E71"/>
    <w:rsid w:val="00893953"/>
    <w:rsid w:val="00895536"/>
    <w:rsid w:val="008956E2"/>
    <w:rsid w:val="008A4052"/>
    <w:rsid w:val="008B3495"/>
    <w:rsid w:val="008B7E67"/>
    <w:rsid w:val="008C716E"/>
    <w:rsid w:val="008D14A9"/>
    <w:rsid w:val="008D1FF4"/>
    <w:rsid w:val="008D7D4E"/>
    <w:rsid w:val="008E6FF5"/>
    <w:rsid w:val="008F72C7"/>
    <w:rsid w:val="009047B9"/>
    <w:rsid w:val="00905069"/>
    <w:rsid w:val="00915C9E"/>
    <w:rsid w:val="00915E69"/>
    <w:rsid w:val="00940685"/>
    <w:rsid w:val="00973A8E"/>
    <w:rsid w:val="00976974"/>
    <w:rsid w:val="00977E75"/>
    <w:rsid w:val="00980251"/>
    <w:rsid w:val="00980DB2"/>
    <w:rsid w:val="00994068"/>
    <w:rsid w:val="009A24AF"/>
    <w:rsid w:val="009A64CE"/>
    <w:rsid w:val="009B3796"/>
    <w:rsid w:val="009B4277"/>
    <w:rsid w:val="009D0DAF"/>
    <w:rsid w:val="009D31D3"/>
    <w:rsid w:val="009D3B53"/>
    <w:rsid w:val="009E1EF9"/>
    <w:rsid w:val="009E2F36"/>
    <w:rsid w:val="00A10E35"/>
    <w:rsid w:val="00A11EA9"/>
    <w:rsid w:val="00A149DC"/>
    <w:rsid w:val="00A17C96"/>
    <w:rsid w:val="00A4321B"/>
    <w:rsid w:val="00A472E4"/>
    <w:rsid w:val="00A772BE"/>
    <w:rsid w:val="00A8353C"/>
    <w:rsid w:val="00A86494"/>
    <w:rsid w:val="00A93062"/>
    <w:rsid w:val="00A94E4D"/>
    <w:rsid w:val="00AB27CB"/>
    <w:rsid w:val="00AB35D9"/>
    <w:rsid w:val="00AB44E2"/>
    <w:rsid w:val="00AC13FB"/>
    <w:rsid w:val="00AC5031"/>
    <w:rsid w:val="00AD41A7"/>
    <w:rsid w:val="00AE6042"/>
    <w:rsid w:val="00AF3507"/>
    <w:rsid w:val="00B00A62"/>
    <w:rsid w:val="00B02EBC"/>
    <w:rsid w:val="00B510B1"/>
    <w:rsid w:val="00B67644"/>
    <w:rsid w:val="00B936CF"/>
    <w:rsid w:val="00BA1DA7"/>
    <w:rsid w:val="00BB73DE"/>
    <w:rsid w:val="00BD1A95"/>
    <w:rsid w:val="00BE4C24"/>
    <w:rsid w:val="00BF0C67"/>
    <w:rsid w:val="00BF1A88"/>
    <w:rsid w:val="00C00448"/>
    <w:rsid w:val="00C171B8"/>
    <w:rsid w:val="00C205D9"/>
    <w:rsid w:val="00C244D4"/>
    <w:rsid w:val="00C427FF"/>
    <w:rsid w:val="00C60587"/>
    <w:rsid w:val="00C808B6"/>
    <w:rsid w:val="00C81B8D"/>
    <w:rsid w:val="00C87857"/>
    <w:rsid w:val="00C87945"/>
    <w:rsid w:val="00C910AC"/>
    <w:rsid w:val="00C940BD"/>
    <w:rsid w:val="00C97192"/>
    <w:rsid w:val="00CA4244"/>
    <w:rsid w:val="00CA452E"/>
    <w:rsid w:val="00CA742E"/>
    <w:rsid w:val="00D02E04"/>
    <w:rsid w:val="00D1081A"/>
    <w:rsid w:val="00D15405"/>
    <w:rsid w:val="00D25ED5"/>
    <w:rsid w:val="00D42E99"/>
    <w:rsid w:val="00D51EE8"/>
    <w:rsid w:val="00D648F4"/>
    <w:rsid w:val="00D65589"/>
    <w:rsid w:val="00D961F3"/>
    <w:rsid w:val="00DA29D7"/>
    <w:rsid w:val="00DA4E24"/>
    <w:rsid w:val="00DC0E5F"/>
    <w:rsid w:val="00DC5C20"/>
    <w:rsid w:val="00DF2F61"/>
    <w:rsid w:val="00E028C8"/>
    <w:rsid w:val="00E164B8"/>
    <w:rsid w:val="00E2154F"/>
    <w:rsid w:val="00E24018"/>
    <w:rsid w:val="00E324FC"/>
    <w:rsid w:val="00E42B23"/>
    <w:rsid w:val="00E503A1"/>
    <w:rsid w:val="00E55B05"/>
    <w:rsid w:val="00E66F85"/>
    <w:rsid w:val="00E91BF8"/>
    <w:rsid w:val="00EA4C7E"/>
    <w:rsid w:val="00EA7377"/>
    <w:rsid w:val="00EB037F"/>
    <w:rsid w:val="00EB2940"/>
    <w:rsid w:val="00EB3F33"/>
    <w:rsid w:val="00EE152E"/>
    <w:rsid w:val="00EE47EB"/>
    <w:rsid w:val="00EF1D52"/>
    <w:rsid w:val="00F13627"/>
    <w:rsid w:val="00F24F23"/>
    <w:rsid w:val="00F366ED"/>
    <w:rsid w:val="00F37382"/>
    <w:rsid w:val="00F426FC"/>
    <w:rsid w:val="00F452EA"/>
    <w:rsid w:val="00F53650"/>
    <w:rsid w:val="00F61DC2"/>
    <w:rsid w:val="00F6563A"/>
    <w:rsid w:val="00F70849"/>
    <w:rsid w:val="00F72E9E"/>
    <w:rsid w:val="00F859CA"/>
    <w:rsid w:val="00F92877"/>
    <w:rsid w:val="00FA1091"/>
    <w:rsid w:val="00FB32A0"/>
    <w:rsid w:val="00FB54A8"/>
    <w:rsid w:val="00FB6D42"/>
    <w:rsid w:val="00FD0F0F"/>
    <w:rsid w:val="00FD58D4"/>
    <w:rsid w:val="00FE76DA"/>
    <w:rsid w:val="00FF10D3"/>
  </w:rsids>
  <m:mathPr>
    <m:mathFont m:val="Cambria Math"/>
    <m:brkBin m:val="before"/>
    <m:brkBinSub m:val="--"/>
    <m:smallFrac m:val="off"/>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AT" w:eastAsia="en-US" w:bidi="ar-SA"/>
      </w:rPr>
    </w:rPrDefault>
    <w:pPrDefault>
      <w:pPr>
        <w:spacing w:after="24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42E99"/>
    <w:pPr>
      <w:spacing w:after="200"/>
      <w:jc w:val="left"/>
    </w:pPr>
    <w:rPr>
      <w:rFonts w:ascii="Trebuchet MS" w:eastAsia="Cambria" w:hAnsi="Trebuchet MS" w:cs="Times New Roman"/>
      <w:sz w:val="24"/>
      <w:szCs w:val="24"/>
      <w:lang w:val="de-DE"/>
    </w:rPr>
  </w:style>
  <w:style w:type="paragraph" w:styleId="berschrift1">
    <w:name w:val="heading 1"/>
    <w:basedOn w:val="Listenabsatz"/>
    <w:next w:val="Standard"/>
    <w:link w:val="berschrift1Zchn"/>
    <w:uiPriority w:val="9"/>
    <w:qFormat/>
    <w:rsid w:val="00156A38"/>
    <w:pPr>
      <w:numPr>
        <w:numId w:val="7"/>
      </w:numPr>
      <w:tabs>
        <w:tab w:val="left" w:pos="1843"/>
      </w:tabs>
      <w:jc w:val="both"/>
      <w:outlineLvl w:val="0"/>
    </w:pPr>
    <w:rPr>
      <w:rFonts w:ascii="Times New Roman" w:hAnsi="Times New Roman"/>
      <w:u w:val="single"/>
      <w:lang w:val="en-GB"/>
    </w:rPr>
  </w:style>
  <w:style w:type="paragraph" w:styleId="berschrift2">
    <w:name w:val="heading 2"/>
    <w:basedOn w:val="Standard"/>
    <w:next w:val="Standard"/>
    <w:link w:val="berschrift2Zchn"/>
    <w:uiPriority w:val="9"/>
    <w:unhideWhenUsed/>
    <w:qFormat/>
    <w:rsid w:val="0051645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NameofEventDate">
    <w:name w:val="Name of Event Date"/>
    <w:qFormat/>
    <w:rsid w:val="00D42E99"/>
    <w:pPr>
      <w:pBdr>
        <w:bottom w:val="single" w:sz="4" w:space="1" w:color="003777"/>
      </w:pBdr>
      <w:spacing w:after="200"/>
      <w:jc w:val="left"/>
    </w:pPr>
    <w:rPr>
      <w:rFonts w:ascii="Trebuchet MS" w:eastAsia="Cambria" w:hAnsi="Trebuchet MS" w:cs="Times New Roman"/>
      <w:color w:val="262727"/>
      <w:sz w:val="18"/>
      <w:szCs w:val="24"/>
      <w:lang w:val="de-DE"/>
    </w:rPr>
  </w:style>
  <w:style w:type="paragraph" w:styleId="Kopfzeile">
    <w:name w:val="header"/>
    <w:basedOn w:val="Standard"/>
    <w:link w:val="KopfzeileZchn"/>
    <w:uiPriority w:val="99"/>
    <w:semiHidden/>
    <w:unhideWhenUsed/>
    <w:rsid w:val="00D42E99"/>
    <w:pPr>
      <w:tabs>
        <w:tab w:val="center" w:pos="4536"/>
        <w:tab w:val="right" w:pos="9072"/>
      </w:tabs>
      <w:spacing w:after="0"/>
    </w:pPr>
  </w:style>
  <w:style w:type="character" w:customStyle="1" w:styleId="KopfzeileZchn">
    <w:name w:val="Kopfzeile Zchn"/>
    <w:basedOn w:val="Absatz-Standardschriftart"/>
    <w:link w:val="Kopfzeile"/>
    <w:uiPriority w:val="99"/>
    <w:semiHidden/>
    <w:rsid w:val="00D42E99"/>
    <w:rPr>
      <w:rFonts w:ascii="Trebuchet MS" w:eastAsia="Cambria" w:hAnsi="Trebuchet MS" w:cs="Times New Roman"/>
      <w:sz w:val="24"/>
      <w:szCs w:val="24"/>
      <w:lang w:val="de-DE"/>
    </w:rPr>
  </w:style>
  <w:style w:type="paragraph" w:styleId="Fuzeile">
    <w:name w:val="footer"/>
    <w:basedOn w:val="Standard"/>
    <w:link w:val="FuzeileZchn"/>
    <w:uiPriority w:val="99"/>
    <w:unhideWhenUsed/>
    <w:rsid w:val="00D42E99"/>
    <w:pPr>
      <w:tabs>
        <w:tab w:val="center" w:pos="4536"/>
        <w:tab w:val="right" w:pos="9072"/>
      </w:tabs>
      <w:spacing w:after="0"/>
    </w:pPr>
  </w:style>
  <w:style w:type="character" w:customStyle="1" w:styleId="FuzeileZchn">
    <w:name w:val="Fußzeile Zchn"/>
    <w:basedOn w:val="Absatz-Standardschriftart"/>
    <w:link w:val="Fuzeile"/>
    <w:uiPriority w:val="99"/>
    <w:rsid w:val="00D42E99"/>
    <w:rPr>
      <w:rFonts w:ascii="Trebuchet MS" w:eastAsia="Cambria" w:hAnsi="Trebuchet MS" w:cs="Times New Roman"/>
      <w:sz w:val="24"/>
      <w:szCs w:val="24"/>
      <w:lang w:val="de-DE"/>
    </w:rPr>
  </w:style>
  <w:style w:type="paragraph" w:styleId="Sprechblasentext">
    <w:name w:val="Balloon Text"/>
    <w:basedOn w:val="Standard"/>
    <w:link w:val="SprechblasentextZchn"/>
    <w:uiPriority w:val="99"/>
    <w:semiHidden/>
    <w:unhideWhenUsed/>
    <w:rsid w:val="00D42E99"/>
    <w:pPr>
      <w:spacing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42E99"/>
    <w:rPr>
      <w:rFonts w:ascii="Tahoma" w:eastAsia="Cambria" w:hAnsi="Tahoma" w:cs="Tahoma"/>
      <w:sz w:val="16"/>
      <w:szCs w:val="16"/>
      <w:lang w:val="de-DE"/>
    </w:rPr>
  </w:style>
  <w:style w:type="paragraph" w:styleId="Listenabsatz">
    <w:name w:val="List Paragraph"/>
    <w:basedOn w:val="Standard"/>
    <w:uiPriority w:val="34"/>
    <w:qFormat/>
    <w:rsid w:val="001756AD"/>
    <w:pPr>
      <w:ind w:left="720"/>
      <w:contextualSpacing/>
    </w:pPr>
  </w:style>
  <w:style w:type="character" w:styleId="Hyperlink">
    <w:name w:val="Hyperlink"/>
    <w:basedOn w:val="Absatz-Standardschriftart"/>
    <w:uiPriority w:val="99"/>
    <w:unhideWhenUsed/>
    <w:rsid w:val="00D1081A"/>
    <w:rPr>
      <w:color w:val="0000FF" w:themeColor="hyperlink"/>
      <w:u w:val="single"/>
    </w:rPr>
  </w:style>
  <w:style w:type="paragraph" w:styleId="Verzeichnis1">
    <w:name w:val="toc 1"/>
    <w:basedOn w:val="Standard"/>
    <w:next w:val="Standard"/>
    <w:autoRedefine/>
    <w:uiPriority w:val="39"/>
    <w:unhideWhenUsed/>
    <w:rsid w:val="00F72E9E"/>
    <w:pPr>
      <w:spacing w:after="100"/>
    </w:pPr>
  </w:style>
  <w:style w:type="character" w:customStyle="1" w:styleId="berschrift1Zchn">
    <w:name w:val="Überschrift 1 Zchn"/>
    <w:basedOn w:val="Absatz-Standardschriftart"/>
    <w:link w:val="berschrift1"/>
    <w:uiPriority w:val="9"/>
    <w:rsid w:val="00156A38"/>
    <w:rPr>
      <w:rFonts w:ascii="Times New Roman" w:eastAsia="Cambria" w:hAnsi="Times New Roman" w:cs="Times New Roman"/>
      <w:sz w:val="24"/>
      <w:szCs w:val="24"/>
      <w:u w:val="single"/>
      <w:lang w:val="en-GB"/>
    </w:rPr>
  </w:style>
  <w:style w:type="paragraph" w:styleId="Inhaltsverzeichnisberschrift">
    <w:name w:val="TOC Heading"/>
    <w:basedOn w:val="berschrift1"/>
    <w:next w:val="Standard"/>
    <w:uiPriority w:val="39"/>
    <w:unhideWhenUsed/>
    <w:qFormat/>
    <w:rsid w:val="00977E75"/>
    <w:pPr>
      <w:spacing w:line="276" w:lineRule="auto"/>
      <w:outlineLvl w:val="9"/>
    </w:pPr>
  </w:style>
  <w:style w:type="character" w:customStyle="1" w:styleId="berschrift2Zchn">
    <w:name w:val="Überschrift 2 Zchn"/>
    <w:basedOn w:val="Absatz-Standardschriftart"/>
    <w:link w:val="berschrift2"/>
    <w:uiPriority w:val="9"/>
    <w:rsid w:val="0051645C"/>
    <w:rPr>
      <w:rFonts w:asciiTheme="majorHAnsi" w:eastAsiaTheme="majorEastAsia" w:hAnsiTheme="majorHAnsi" w:cstheme="majorBidi"/>
      <w:b/>
      <w:bCs/>
      <w:color w:val="4F81BD" w:themeColor="accent1"/>
      <w:sz w:val="26"/>
      <w:szCs w:val="26"/>
      <w:lang w:val="de-DE"/>
    </w:rPr>
  </w:style>
  <w:style w:type="paragraph" w:customStyle="1" w:styleId="Listenabsatz1">
    <w:name w:val="Listenabsatz1"/>
    <w:basedOn w:val="Standard"/>
    <w:rsid w:val="005A3C8C"/>
    <w:pPr>
      <w:suppressAutoHyphens/>
      <w:spacing w:line="276" w:lineRule="auto"/>
    </w:pPr>
    <w:rPr>
      <w:rFonts w:ascii="Calibri" w:eastAsia="SimSun" w:hAnsi="Calibri"/>
      <w:kern w:val="1"/>
      <w:sz w:val="22"/>
      <w:szCs w:val="22"/>
      <w:lang w:eastAsia="ar-SA"/>
    </w:rPr>
  </w:style>
  <w:style w:type="paragraph" w:styleId="Funotentext">
    <w:name w:val="footnote text"/>
    <w:basedOn w:val="Standard"/>
    <w:link w:val="FunotentextZchn"/>
    <w:uiPriority w:val="99"/>
    <w:semiHidden/>
    <w:unhideWhenUsed/>
    <w:rsid w:val="00D961F3"/>
    <w:pPr>
      <w:spacing w:after="0"/>
    </w:pPr>
    <w:rPr>
      <w:sz w:val="20"/>
      <w:szCs w:val="20"/>
    </w:rPr>
  </w:style>
  <w:style w:type="character" w:customStyle="1" w:styleId="FunotentextZchn">
    <w:name w:val="Fußnotentext Zchn"/>
    <w:basedOn w:val="Absatz-Standardschriftart"/>
    <w:link w:val="Funotentext"/>
    <w:uiPriority w:val="99"/>
    <w:semiHidden/>
    <w:rsid w:val="00D961F3"/>
    <w:rPr>
      <w:rFonts w:ascii="Trebuchet MS" w:eastAsia="Cambria" w:hAnsi="Trebuchet MS" w:cs="Times New Roman"/>
      <w:sz w:val="20"/>
      <w:szCs w:val="20"/>
      <w:lang w:val="de-DE"/>
    </w:rPr>
  </w:style>
  <w:style w:type="character" w:styleId="Funotenzeichen">
    <w:name w:val="footnote reference"/>
    <w:basedOn w:val="Absatz-Standardschriftart"/>
    <w:uiPriority w:val="99"/>
    <w:semiHidden/>
    <w:unhideWhenUsed/>
    <w:rsid w:val="00D961F3"/>
    <w:rPr>
      <w:vertAlign w:val="superscript"/>
    </w:rPr>
  </w:style>
  <w:style w:type="table" w:styleId="Tabellengitternetz">
    <w:name w:val="Table Grid"/>
    <w:basedOn w:val="NormaleTabelle"/>
    <w:uiPriority w:val="59"/>
    <w:rsid w:val="00D961F3"/>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ommentarzeichen">
    <w:name w:val="annotation reference"/>
    <w:basedOn w:val="Absatz-Standardschriftart"/>
    <w:uiPriority w:val="99"/>
    <w:semiHidden/>
    <w:unhideWhenUsed/>
    <w:rsid w:val="00A94E4D"/>
    <w:rPr>
      <w:sz w:val="16"/>
      <w:szCs w:val="16"/>
    </w:rPr>
  </w:style>
  <w:style w:type="paragraph" w:styleId="Kommentartext">
    <w:name w:val="annotation text"/>
    <w:basedOn w:val="Standard"/>
    <w:link w:val="KommentartextZchn"/>
    <w:uiPriority w:val="99"/>
    <w:semiHidden/>
    <w:unhideWhenUsed/>
    <w:rsid w:val="00A94E4D"/>
    <w:rPr>
      <w:sz w:val="20"/>
      <w:szCs w:val="20"/>
    </w:rPr>
  </w:style>
  <w:style w:type="character" w:customStyle="1" w:styleId="KommentartextZchn">
    <w:name w:val="Kommentartext Zchn"/>
    <w:basedOn w:val="Absatz-Standardschriftart"/>
    <w:link w:val="Kommentartext"/>
    <w:uiPriority w:val="99"/>
    <w:semiHidden/>
    <w:rsid w:val="00A94E4D"/>
    <w:rPr>
      <w:rFonts w:ascii="Trebuchet MS" w:eastAsia="Cambria" w:hAnsi="Trebuchet MS" w:cs="Times New Roman"/>
      <w:sz w:val="20"/>
      <w:szCs w:val="20"/>
      <w:lang w:val="de-DE"/>
    </w:rPr>
  </w:style>
  <w:style w:type="paragraph" w:styleId="Kommentarthema">
    <w:name w:val="annotation subject"/>
    <w:basedOn w:val="Kommentartext"/>
    <w:next w:val="Kommentartext"/>
    <w:link w:val="KommentarthemaZchn"/>
    <w:uiPriority w:val="99"/>
    <w:semiHidden/>
    <w:unhideWhenUsed/>
    <w:rsid w:val="00A94E4D"/>
    <w:rPr>
      <w:b/>
      <w:bCs/>
    </w:rPr>
  </w:style>
  <w:style w:type="character" w:customStyle="1" w:styleId="KommentarthemaZchn">
    <w:name w:val="Kommentarthema Zchn"/>
    <w:basedOn w:val="KommentartextZchn"/>
    <w:link w:val="Kommentarthema"/>
    <w:uiPriority w:val="99"/>
    <w:semiHidden/>
    <w:rsid w:val="00A94E4D"/>
    <w:rPr>
      <w:rFonts w:ascii="Trebuchet MS" w:eastAsia="Cambria" w:hAnsi="Trebuchet MS" w:cs="Times New Roman"/>
      <w:b/>
      <w:bCs/>
      <w:sz w:val="20"/>
      <w:szCs w:val="20"/>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4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42E99"/>
    <w:pPr>
      <w:spacing w:after="200"/>
      <w:jc w:val="left"/>
    </w:pPr>
    <w:rPr>
      <w:rFonts w:ascii="Trebuchet MS" w:eastAsia="Cambria" w:hAnsi="Trebuchet MS" w:cs="Times New Roman"/>
      <w:sz w:val="24"/>
      <w:szCs w:val="24"/>
      <w:lang w:val="de-DE"/>
    </w:rPr>
  </w:style>
  <w:style w:type="paragraph" w:styleId="berschrift1">
    <w:name w:val="heading 1"/>
    <w:basedOn w:val="Listenabsatz"/>
    <w:next w:val="Standard"/>
    <w:link w:val="berschrift1Zchn"/>
    <w:uiPriority w:val="9"/>
    <w:qFormat/>
    <w:rsid w:val="00156A38"/>
    <w:pPr>
      <w:numPr>
        <w:numId w:val="7"/>
      </w:numPr>
      <w:tabs>
        <w:tab w:val="left" w:pos="1843"/>
      </w:tabs>
      <w:jc w:val="both"/>
      <w:outlineLvl w:val="0"/>
    </w:pPr>
    <w:rPr>
      <w:rFonts w:ascii="Times New Roman" w:hAnsi="Times New Roman"/>
      <w:u w:val="single"/>
      <w:lang w:val="en-GB"/>
    </w:rPr>
  </w:style>
  <w:style w:type="paragraph" w:styleId="berschrift2">
    <w:name w:val="heading 2"/>
    <w:basedOn w:val="Standard"/>
    <w:next w:val="Standard"/>
    <w:link w:val="berschrift2Zchn"/>
    <w:uiPriority w:val="9"/>
    <w:unhideWhenUsed/>
    <w:qFormat/>
    <w:rsid w:val="0051645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NameofEventDate">
    <w:name w:val="Name of Event Date"/>
    <w:qFormat/>
    <w:rsid w:val="00D42E99"/>
    <w:pPr>
      <w:pBdr>
        <w:bottom w:val="single" w:sz="4" w:space="1" w:color="003777"/>
      </w:pBdr>
      <w:spacing w:after="200"/>
      <w:jc w:val="left"/>
    </w:pPr>
    <w:rPr>
      <w:rFonts w:ascii="Trebuchet MS" w:eastAsia="Cambria" w:hAnsi="Trebuchet MS" w:cs="Times New Roman"/>
      <w:color w:val="262727"/>
      <w:sz w:val="18"/>
      <w:szCs w:val="24"/>
      <w:lang w:val="de-DE"/>
    </w:rPr>
  </w:style>
  <w:style w:type="paragraph" w:styleId="Kopfzeile">
    <w:name w:val="header"/>
    <w:basedOn w:val="Standard"/>
    <w:link w:val="KopfzeileZchn"/>
    <w:uiPriority w:val="99"/>
    <w:semiHidden/>
    <w:unhideWhenUsed/>
    <w:rsid w:val="00D42E99"/>
    <w:pPr>
      <w:tabs>
        <w:tab w:val="center" w:pos="4536"/>
        <w:tab w:val="right" w:pos="9072"/>
      </w:tabs>
      <w:spacing w:after="0"/>
    </w:pPr>
  </w:style>
  <w:style w:type="character" w:customStyle="1" w:styleId="KopfzeileZchn">
    <w:name w:val="Kopfzeile Zchn"/>
    <w:basedOn w:val="Absatz-Standardschriftart"/>
    <w:link w:val="Kopfzeile"/>
    <w:uiPriority w:val="99"/>
    <w:semiHidden/>
    <w:rsid w:val="00D42E99"/>
    <w:rPr>
      <w:rFonts w:ascii="Trebuchet MS" w:eastAsia="Cambria" w:hAnsi="Trebuchet MS" w:cs="Times New Roman"/>
      <w:sz w:val="24"/>
      <w:szCs w:val="24"/>
      <w:lang w:val="de-DE"/>
    </w:rPr>
  </w:style>
  <w:style w:type="paragraph" w:styleId="Fuzeile">
    <w:name w:val="footer"/>
    <w:basedOn w:val="Standard"/>
    <w:link w:val="FuzeileZchn"/>
    <w:uiPriority w:val="99"/>
    <w:unhideWhenUsed/>
    <w:rsid w:val="00D42E99"/>
    <w:pPr>
      <w:tabs>
        <w:tab w:val="center" w:pos="4536"/>
        <w:tab w:val="right" w:pos="9072"/>
      </w:tabs>
      <w:spacing w:after="0"/>
    </w:pPr>
  </w:style>
  <w:style w:type="character" w:customStyle="1" w:styleId="FuzeileZchn">
    <w:name w:val="Fußzeile Zchn"/>
    <w:basedOn w:val="Absatz-Standardschriftart"/>
    <w:link w:val="Fuzeile"/>
    <w:uiPriority w:val="99"/>
    <w:rsid w:val="00D42E99"/>
    <w:rPr>
      <w:rFonts w:ascii="Trebuchet MS" w:eastAsia="Cambria" w:hAnsi="Trebuchet MS" w:cs="Times New Roman"/>
      <w:sz w:val="24"/>
      <w:szCs w:val="24"/>
      <w:lang w:val="de-DE"/>
    </w:rPr>
  </w:style>
  <w:style w:type="paragraph" w:styleId="Sprechblasentext">
    <w:name w:val="Balloon Text"/>
    <w:basedOn w:val="Standard"/>
    <w:link w:val="SprechblasentextZchn"/>
    <w:uiPriority w:val="99"/>
    <w:semiHidden/>
    <w:unhideWhenUsed/>
    <w:rsid w:val="00D42E99"/>
    <w:pPr>
      <w:spacing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42E99"/>
    <w:rPr>
      <w:rFonts w:ascii="Tahoma" w:eastAsia="Cambria" w:hAnsi="Tahoma" w:cs="Tahoma"/>
      <w:sz w:val="16"/>
      <w:szCs w:val="16"/>
      <w:lang w:val="de-DE"/>
    </w:rPr>
  </w:style>
  <w:style w:type="paragraph" w:styleId="Listenabsatz">
    <w:name w:val="List Paragraph"/>
    <w:basedOn w:val="Standard"/>
    <w:uiPriority w:val="34"/>
    <w:qFormat/>
    <w:rsid w:val="001756AD"/>
    <w:pPr>
      <w:ind w:left="720"/>
      <w:contextualSpacing/>
    </w:pPr>
  </w:style>
  <w:style w:type="character" w:styleId="Hyperlink">
    <w:name w:val="Hyperlink"/>
    <w:basedOn w:val="Absatz-Standardschriftart"/>
    <w:uiPriority w:val="99"/>
    <w:unhideWhenUsed/>
    <w:rsid w:val="00D1081A"/>
    <w:rPr>
      <w:color w:val="0000FF" w:themeColor="hyperlink"/>
      <w:u w:val="single"/>
    </w:rPr>
  </w:style>
  <w:style w:type="paragraph" w:styleId="Verzeichnis1">
    <w:name w:val="toc 1"/>
    <w:basedOn w:val="Standard"/>
    <w:next w:val="Standard"/>
    <w:autoRedefine/>
    <w:uiPriority w:val="39"/>
    <w:unhideWhenUsed/>
    <w:rsid w:val="00F72E9E"/>
    <w:pPr>
      <w:spacing w:after="100"/>
    </w:pPr>
  </w:style>
  <w:style w:type="character" w:customStyle="1" w:styleId="berschrift1Zchn">
    <w:name w:val="Überschrift 1 Zchn"/>
    <w:basedOn w:val="Absatz-Standardschriftart"/>
    <w:link w:val="berschrift1"/>
    <w:uiPriority w:val="9"/>
    <w:rsid w:val="00156A38"/>
    <w:rPr>
      <w:rFonts w:ascii="Times New Roman" w:eastAsia="Cambria" w:hAnsi="Times New Roman" w:cs="Times New Roman"/>
      <w:sz w:val="24"/>
      <w:szCs w:val="24"/>
      <w:u w:val="single"/>
      <w:lang w:val="en-GB"/>
    </w:rPr>
  </w:style>
  <w:style w:type="paragraph" w:styleId="Inhaltsverzeichnisberschrift">
    <w:name w:val="TOC Heading"/>
    <w:basedOn w:val="berschrift1"/>
    <w:next w:val="Standard"/>
    <w:uiPriority w:val="39"/>
    <w:unhideWhenUsed/>
    <w:qFormat/>
    <w:rsid w:val="00977E75"/>
    <w:pPr>
      <w:spacing w:line="276" w:lineRule="auto"/>
      <w:outlineLvl w:val="9"/>
    </w:pPr>
  </w:style>
  <w:style w:type="character" w:customStyle="1" w:styleId="berschrift2Zchn">
    <w:name w:val="Überschrift 2 Zchn"/>
    <w:basedOn w:val="Absatz-Standardschriftart"/>
    <w:link w:val="berschrift2"/>
    <w:uiPriority w:val="9"/>
    <w:rsid w:val="0051645C"/>
    <w:rPr>
      <w:rFonts w:asciiTheme="majorHAnsi" w:eastAsiaTheme="majorEastAsia" w:hAnsiTheme="majorHAnsi" w:cstheme="majorBidi"/>
      <w:b/>
      <w:bCs/>
      <w:color w:val="4F81BD" w:themeColor="accent1"/>
      <w:sz w:val="26"/>
      <w:szCs w:val="26"/>
      <w:lang w:val="de-DE"/>
    </w:rPr>
  </w:style>
  <w:style w:type="paragraph" w:customStyle="1" w:styleId="Listenabsatz1">
    <w:name w:val="Listenabsatz1"/>
    <w:basedOn w:val="Standard"/>
    <w:rsid w:val="005A3C8C"/>
    <w:pPr>
      <w:suppressAutoHyphens/>
      <w:spacing w:line="276" w:lineRule="auto"/>
    </w:pPr>
    <w:rPr>
      <w:rFonts w:ascii="Calibri" w:eastAsia="SimSun" w:hAnsi="Calibri"/>
      <w:kern w:val="1"/>
      <w:sz w:val="22"/>
      <w:szCs w:val="22"/>
      <w:lang w:eastAsia="ar-SA"/>
    </w:rPr>
  </w:style>
  <w:style w:type="paragraph" w:styleId="Funotentext">
    <w:name w:val="footnote text"/>
    <w:basedOn w:val="Standard"/>
    <w:link w:val="FunotentextZchn"/>
    <w:uiPriority w:val="99"/>
    <w:semiHidden/>
    <w:unhideWhenUsed/>
    <w:rsid w:val="00D961F3"/>
    <w:pPr>
      <w:spacing w:after="0"/>
    </w:pPr>
    <w:rPr>
      <w:sz w:val="20"/>
      <w:szCs w:val="20"/>
    </w:rPr>
  </w:style>
  <w:style w:type="character" w:customStyle="1" w:styleId="FunotentextZchn">
    <w:name w:val="Fußnotentext Zchn"/>
    <w:basedOn w:val="Absatz-Standardschriftart"/>
    <w:link w:val="Funotentext"/>
    <w:uiPriority w:val="99"/>
    <w:semiHidden/>
    <w:rsid w:val="00D961F3"/>
    <w:rPr>
      <w:rFonts w:ascii="Trebuchet MS" w:eastAsia="Cambria" w:hAnsi="Trebuchet MS" w:cs="Times New Roman"/>
      <w:sz w:val="20"/>
      <w:szCs w:val="20"/>
      <w:lang w:val="de-DE"/>
    </w:rPr>
  </w:style>
  <w:style w:type="character" w:styleId="Funotenzeichen">
    <w:name w:val="footnote reference"/>
    <w:basedOn w:val="Absatz-Standardschriftart"/>
    <w:uiPriority w:val="99"/>
    <w:semiHidden/>
    <w:unhideWhenUsed/>
    <w:rsid w:val="00D961F3"/>
    <w:rPr>
      <w:vertAlign w:val="superscript"/>
    </w:rPr>
  </w:style>
  <w:style w:type="table" w:styleId="Tabellenraster">
    <w:name w:val="Table Grid"/>
    <w:basedOn w:val="NormaleTabelle"/>
    <w:uiPriority w:val="59"/>
    <w:rsid w:val="00D961F3"/>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ommentarzeichen">
    <w:name w:val="annotation reference"/>
    <w:basedOn w:val="Absatz-Standardschriftart"/>
    <w:uiPriority w:val="99"/>
    <w:semiHidden/>
    <w:unhideWhenUsed/>
    <w:rsid w:val="00A94E4D"/>
    <w:rPr>
      <w:sz w:val="16"/>
      <w:szCs w:val="16"/>
    </w:rPr>
  </w:style>
  <w:style w:type="paragraph" w:styleId="Kommentartext">
    <w:name w:val="annotation text"/>
    <w:basedOn w:val="Standard"/>
    <w:link w:val="KommentartextZchn"/>
    <w:uiPriority w:val="99"/>
    <w:semiHidden/>
    <w:unhideWhenUsed/>
    <w:rsid w:val="00A94E4D"/>
    <w:rPr>
      <w:sz w:val="20"/>
      <w:szCs w:val="20"/>
    </w:rPr>
  </w:style>
  <w:style w:type="character" w:customStyle="1" w:styleId="KommentartextZchn">
    <w:name w:val="Kommentartext Zchn"/>
    <w:basedOn w:val="Absatz-Standardschriftart"/>
    <w:link w:val="Kommentartext"/>
    <w:uiPriority w:val="99"/>
    <w:semiHidden/>
    <w:rsid w:val="00A94E4D"/>
    <w:rPr>
      <w:rFonts w:ascii="Trebuchet MS" w:eastAsia="Cambria" w:hAnsi="Trebuchet MS" w:cs="Times New Roman"/>
      <w:sz w:val="20"/>
      <w:szCs w:val="20"/>
      <w:lang w:val="de-DE"/>
    </w:rPr>
  </w:style>
  <w:style w:type="paragraph" w:styleId="Kommentarthema">
    <w:name w:val="annotation subject"/>
    <w:basedOn w:val="Kommentartext"/>
    <w:next w:val="Kommentartext"/>
    <w:link w:val="KommentarthemaZchn"/>
    <w:uiPriority w:val="99"/>
    <w:semiHidden/>
    <w:unhideWhenUsed/>
    <w:rsid w:val="00A94E4D"/>
    <w:rPr>
      <w:b/>
      <w:bCs/>
    </w:rPr>
  </w:style>
  <w:style w:type="character" w:customStyle="1" w:styleId="KommentarthemaZchn">
    <w:name w:val="Kommentarthema Zchn"/>
    <w:basedOn w:val="KommentartextZchn"/>
    <w:link w:val="Kommentarthema"/>
    <w:uiPriority w:val="99"/>
    <w:semiHidden/>
    <w:rsid w:val="00A94E4D"/>
    <w:rPr>
      <w:rFonts w:ascii="Trebuchet MS" w:eastAsia="Cambria" w:hAnsi="Trebuchet MS" w:cs="Times New Roman"/>
      <w:b/>
      <w:bCs/>
      <w:sz w:val="20"/>
      <w:szCs w:val="20"/>
      <w:lang w:val="de-DE"/>
    </w:rPr>
  </w:style>
</w:styles>
</file>

<file path=word/webSettings.xml><?xml version="1.0" encoding="utf-8"?>
<w:webSettings xmlns:r="http://schemas.openxmlformats.org/officeDocument/2006/relationships" xmlns:w="http://schemas.openxmlformats.org/wordprocessingml/2006/main">
  <w:divs>
    <w:div w:id="1110277726">
      <w:bodyDiv w:val="1"/>
      <w:marLeft w:val="0"/>
      <w:marRight w:val="0"/>
      <w:marTop w:val="0"/>
      <w:marBottom w:val="0"/>
      <w:divBdr>
        <w:top w:val="none" w:sz="0" w:space="0" w:color="auto"/>
        <w:left w:val="none" w:sz="0" w:space="0" w:color="auto"/>
        <w:bottom w:val="none" w:sz="0" w:space="0" w:color="auto"/>
        <w:right w:val="none" w:sz="0" w:space="0" w:color="auto"/>
      </w:divBdr>
    </w:div>
    <w:div w:id="1177767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www.peopleandskills-danuberegion.eu/pages/projects" TargetMode="External"/><Relationship Id="rId1" Type="http://schemas.openxmlformats.org/officeDocument/2006/relationships/hyperlink" Target="http://www.peopleandskills-danuberegion.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181AF3-5B50-4325-8DA6-4E7ECF1F94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2860</Words>
  <Characters>18020</Characters>
  <Application>Microsoft Office Word</Application>
  <DocSecurity>0</DocSecurity>
  <Lines>150</Lines>
  <Paragraphs>41</Paragraphs>
  <ScaleCrop>false</ScaleCrop>
  <HeadingPairs>
    <vt:vector size="2" baseType="variant">
      <vt:variant>
        <vt:lpstr>Titel</vt:lpstr>
      </vt:variant>
      <vt:variant>
        <vt:i4>1</vt:i4>
      </vt:variant>
    </vt:vector>
  </HeadingPairs>
  <TitlesOfParts>
    <vt:vector size="1" baseType="lpstr">
      <vt:lpstr/>
    </vt:vector>
  </TitlesOfParts>
  <Company>BMASK</Company>
  <LinksUpToDate>false</LinksUpToDate>
  <CharactersWithSpaces>20839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joerg.mirtl</dc:creator>
  <cp:lastModifiedBy>joerg.mirtl</cp:lastModifiedBy>
  <cp:revision>2</cp:revision>
  <cp:lastPrinted>2012-12-18T09:37:00Z</cp:lastPrinted>
  <dcterms:created xsi:type="dcterms:W3CDTF">2013-01-08T14:56:00Z</dcterms:created>
  <dcterms:modified xsi:type="dcterms:W3CDTF">2013-01-08T14:56:00Z</dcterms:modified>
</cp:coreProperties>
</file>